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73CED">
      <w:pPr>
        <w:spacing w:line="240" w:lineRule="auto"/>
        <w:ind w:firstLine="0" w:firstLineChars="0"/>
        <w:rPr>
          <w:rFonts w:ascii="方正黑体_GBK" w:hAnsi="Times New Roman" w:eastAsia="方正黑体_GBK" w:cs="宋体"/>
          <w:bCs/>
          <w:color w:val="000000" w:themeColor="text1"/>
          <w:kern w:val="0"/>
          <w:sz w:val="32"/>
          <w:szCs w:val="44"/>
          <w14:textFill>
            <w14:solidFill>
              <w14:schemeClr w14:val="tx1"/>
            </w14:solidFill>
          </w14:textFill>
        </w:rPr>
      </w:pPr>
      <w:r>
        <w:rPr>
          <w:rFonts w:ascii="黑体" w:hAnsi="Times New Roman" w:eastAsia="黑体" w:cs="宋体"/>
          <w:b/>
          <w:bCs/>
          <w:color w:val="000000" w:themeColor="text1"/>
          <w:kern w:val="0"/>
          <w:sz w:val="44"/>
          <w:szCs w:val="44"/>
          <w14:textFill>
            <w14:solidFill>
              <w14:schemeClr w14:val="tx1"/>
            </w14:solidFill>
          </w14:textFill>
        </w:rPr>
        <w:tab/>
      </w:r>
      <w:r>
        <w:rPr>
          <w:rFonts w:hint="eastAsia" w:ascii="方正黑体_GBK" w:hAnsi="Times New Roman" w:eastAsia="方正黑体_GBK" w:cs="宋体"/>
          <w:bCs/>
          <w:color w:val="000000" w:themeColor="text1"/>
          <w:kern w:val="0"/>
          <w:sz w:val="32"/>
          <w:szCs w:val="44"/>
          <w14:textFill>
            <w14:solidFill>
              <w14:schemeClr w14:val="tx1"/>
            </w14:solidFill>
          </w14:textFill>
        </w:rPr>
        <w:t>附件1</w:t>
      </w:r>
    </w:p>
    <w:p w14:paraId="6EC90F09">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252BC4A">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2B0E2BA4">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bookmarkStart w:id="9" w:name="_GoBack"/>
      <w:bookmarkEnd w:id="9"/>
    </w:p>
    <w:p w14:paraId="59ACF45D">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2026年度重庆市教委人文社会科学研究</w:t>
      </w:r>
    </w:p>
    <w:p w14:paraId="5B27800E">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项目</w:t>
      </w:r>
      <w:r>
        <w:rPr>
          <w:rFonts w:hint="eastAsia" w:ascii="方正小标宋_GBK" w:hAnsi="Times New Roman" w:eastAsia="方正小标宋_GBK" w:cs="宋体"/>
          <w:b/>
          <w:bCs/>
          <w:color w:val="000000" w:themeColor="text1"/>
          <w:kern w:val="0"/>
          <w:sz w:val="44"/>
          <w:szCs w:val="52"/>
          <w:lang w:val="en-US" w:eastAsia="zh-CN"/>
          <w14:textFill>
            <w14:solidFill>
              <w14:schemeClr w14:val="tx1"/>
            </w14:solidFill>
          </w14:textFill>
        </w:rPr>
        <w:t>课题</w:t>
      </w:r>
      <w:r>
        <w:rPr>
          <w:rFonts w:hint="eastAsia" w:ascii="方正小标宋_GBK" w:hAnsi="Times New Roman" w:eastAsia="方正小标宋_GBK" w:cs="宋体"/>
          <w:b/>
          <w:bCs/>
          <w:color w:val="000000" w:themeColor="text1"/>
          <w:kern w:val="0"/>
          <w:sz w:val="44"/>
          <w:szCs w:val="52"/>
          <w14:textFill>
            <w14:solidFill>
              <w14:schemeClr w14:val="tx1"/>
            </w14:solidFill>
          </w14:textFill>
        </w:rPr>
        <w:t>指南</w:t>
      </w:r>
    </w:p>
    <w:p w14:paraId="156884FC">
      <w:pPr>
        <w:spacing w:line="240" w:lineRule="auto"/>
        <w:ind w:firstLine="0" w:firstLineChars="0"/>
        <w:jc w:val="center"/>
        <w:rPr>
          <w:rFonts w:ascii="华文中宋" w:hAnsi="Times New Roman" w:eastAsia="华文中宋" w:cs="宋体"/>
          <w:b/>
          <w:bCs/>
          <w:color w:val="000000" w:themeColor="text1"/>
          <w:kern w:val="0"/>
          <w:sz w:val="36"/>
          <w:szCs w:val="36"/>
          <w14:textFill>
            <w14:solidFill>
              <w14:schemeClr w14:val="tx1"/>
            </w14:solidFill>
          </w14:textFill>
        </w:rPr>
      </w:pPr>
    </w:p>
    <w:p w14:paraId="65C2809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1CC719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4B2F2318">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A623D3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55D242B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E57208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F86D88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32D3046">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17A1ABB3">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044A355">
      <w:pPr>
        <w:spacing w:line="240" w:lineRule="auto"/>
        <w:ind w:firstLine="0" w:firstLineChars="0"/>
        <w:jc w:val="center"/>
        <w:rPr>
          <w:rFonts w:ascii="楷体_GB2312" w:hAnsi="Times New Roman" w:eastAsia="楷体_GB2312" w:cs="宋体"/>
          <w:b/>
          <w:bCs/>
          <w:color w:val="000000" w:themeColor="text1"/>
          <w:kern w:val="0"/>
          <w:sz w:val="36"/>
          <w:szCs w:val="36"/>
          <w14:textFill>
            <w14:solidFill>
              <w14:schemeClr w14:val="tx1"/>
            </w14:solidFill>
          </w14:textFill>
        </w:rPr>
      </w:pPr>
    </w:p>
    <w:p w14:paraId="543ABB49">
      <w:pPr>
        <w:spacing w:line="240" w:lineRule="auto"/>
        <w:ind w:firstLine="0" w:firstLineChars="0"/>
        <w:jc w:val="center"/>
        <w:rPr>
          <w:rFonts w:ascii="方正楷体_GBK" w:hAnsi="Times New Roman" w:eastAsia="方正楷体_GBK" w:cs="宋体"/>
          <w:bCs/>
          <w:color w:val="000000" w:themeColor="text1"/>
          <w:kern w:val="0"/>
          <w:sz w:val="36"/>
          <w:szCs w:val="36"/>
          <w14:textFill>
            <w14:solidFill>
              <w14:schemeClr w14:val="tx1"/>
            </w14:solidFill>
          </w14:textFill>
        </w:rPr>
      </w:pPr>
      <w:r>
        <w:rPr>
          <w:rFonts w:hint="eastAsia" w:ascii="方正楷体_GBK" w:hAnsi="Times New Roman" w:eastAsia="方正楷体_GBK" w:cs="宋体"/>
          <w:bCs/>
          <w:color w:val="000000" w:themeColor="text1"/>
          <w:kern w:val="0"/>
          <w:sz w:val="36"/>
          <w:szCs w:val="36"/>
          <w14:textFill>
            <w14:solidFill>
              <w14:schemeClr w14:val="tx1"/>
            </w14:solidFill>
          </w14:textFill>
        </w:rPr>
        <w:t>2025年12月</w:t>
      </w:r>
    </w:p>
    <w:p w14:paraId="6C2FBD5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3EE086A">
      <w:pPr>
        <w:tabs>
          <w:tab w:val="left" w:pos="2530"/>
          <w:tab w:val="center" w:pos="4156"/>
        </w:tabs>
        <w:spacing w:line="240" w:lineRule="auto"/>
        <w:ind w:firstLine="0" w:firstLineChars="0"/>
        <w:jc w:val="left"/>
        <w:rPr>
          <w:rFonts w:ascii="黑体" w:hAnsi="Times New Roman" w:eastAsia="黑体" w:cs="宋体"/>
          <w:b/>
          <w:bCs/>
          <w:color w:val="000000" w:themeColor="text1"/>
          <w:kern w:val="0"/>
          <w:sz w:val="44"/>
          <w:szCs w:val="44"/>
          <w14:textFill>
            <w14:solidFill>
              <w14:schemeClr w14:val="tx1"/>
            </w14:solidFill>
          </w14:textFill>
        </w:rPr>
      </w:pPr>
      <w:r>
        <w:rPr>
          <w:rFonts w:ascii="黑体" w:hAnsi="Times New Roman" w:eastAsia="黑体" w:cs="宋体"/>
          <w:b/>
          <w:bCs/>
          <w:color w:val="000000" w:themeColor="text1"/>
          <w:kern w:val="0"/>
          <w:sz w:val="44"/>
          <w:szCs w:val="44"/>
          <w14:textFill>
            <w14:solidFill>
              <w14:schemeClr w14:val="tx1"/>
            </w14:solidFill>
          </w14:textFill>
        </w:rPr>
        <w:tab/>
      </w:r>
    </w:p>
    <w:p w14:paraId="521BAFE4">
      <w:pPr>
        <w:ind w:firstLine="880"/>
        <w:rPr>
          <w:rFonts w:ascii="黑体" w:hAnsi="Times New Roman" w:eastAsia="黑体" w:cs="宋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361" w:right="1797" w:bottom="1361" w:left="1797" w:header="851" w:footer="992" w:gutter="0"/>
          <w:pgNumType w:start="1"/>
          <w:cols w:space="720" w:num="1"/>
          <w:docGrid w:type="lines" w:linePitch="312" w:charSpace="0"/>
        </w:sectPr>
      </w:pPr>
    </w:p>
    <w:p w14:paraId="0B37A190">
      <w:pPr>
        <w:widowControl w:val="0"/>
        <w:autoSpaceDN w:val="0"/>
        <w:spacing w:line="600" w:lineRule="exact"/>
        <w:ind w:firstLine="0" w:firstLineChars="0"/>
        <w:jc w:val="center"/>
        <w:textAlignment w:val="center"/>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说  明</w:t>
      </w:r>
    </w:p>
    <w:p w14:paraId="703DBBB8">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根据国家质量技术监督局2009年公布的《学科分类与代码》和高校的实际情况，本次项目申报的学科范围包括：马克思主义理论/思想政治教育、哲学、政治学、国际问题研究、语言学、中国文学、外国文学、艺术学、历史学、考古学、经济学、统计学、管理学、法学、社会学、人口学、民族学、新闻与传播学、图书情报文献学、教育学/心理学、体育学。</w:t>
      </w:r>
    </w:p>
    <w:p w14:paraId="0B577AB5">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本“选题指南”主要是方向性条目，申请人可选择不同学科的研究角度和侧重点设计具体题目申报。分为重大、重点和一般项目，其中，重大项目的条目单列，重点项目须是从带“*”号的条目中进行选择。其他未列出选题的学科，可依据研究的主要内容，按照“相近”原则，确定学科归属。</w:t>
      </w:r>
    </w:p>
    <w:p w14:paraId="360B24C8">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3.申请人可根据自身学术积累，围绕学习贯彻党的二十届四中全会精神和习近平总书记视察重庆重要讲话重要指示精神，聚焦国家重大战略和重庆经济社会发展需求，自主选题进行申报。</w:t>
      </w:r>
    </w:p>
    <w:p w14:paraId="648EDAE1">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4.申报题目的表述应科学、严谨、规范、简明，一般不加副标题。</w:t>
      </w:r>
    </w:p>
    <w:p w14:paraId="576FDBDA">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446" w:bottom="1644" w:left="1446" w:header="851" w:footer="992" w:gutter="0"/>
          <w:cols w:space="425" w:num="1"/>
          <w:docGrid w:type="lines" w:linePitch="312" w:charSpace="0"/>
        </w:sectPr>
      </w:pPr>
    </w:p>
    <w:p w14:paraId="79522C8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重大项目</w:t>
      </w:r>
    </w:p>
    <w:p w14:paraId="608364A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1.习近平新时代中国特色社会主义思想循迹溯源研究</w:t>
      </w:r>
    </w:p>
    <w:p w14:paraId="2BB92F4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2.习近平经济思想的世界观和方法论研究</w:t>
      </w:r>
    </w:p>
    <w:p w14:paraId="7A56F9F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3.习近平总书记关于党的建设重要思想的体系化学理化研究</w:t>
      </w:r>
    </w:p>
    <w:p w14:paraId="75BFCC9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4.习近平文化思想的文学阐释体系构建研究</w:t>
      </w:r>
    </w:p>
    <w:p w14:paraId="5A18E40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5.习近平文化思想与新时代艺术研究</w:t>
      </w:r>
    </w:p>
    <w:p w14:paraId="07F076F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6.马克思主义中国化时代化历史进程和基本规律研究</w:t>
      </w:r>
    </w:p>
    <w:p w14:paraId="2F1007A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7.中国式现代化实践对马克思主义社会形态理论的创新贡献研究</w:t>
      </w:r>
    </w:p>
    <w:p w14:paraId="1502F83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8.中国共产党领导制定经济社会发展规划的基本经验研究</w:t>
      </w:r>
    </w:p>
    <w:p w14:paraId="2DF9790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9.世界文学与不同文明形态的交融与冲突研究</w:t>
      </w:r>
    </w:p>
    <w:p w14:paraId="56A4BE9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10.世界华人文学的跨语际实践与中国故事叙事策略研究</w:t>
      </w:r>
    </w:p>
    <w:p w14:paraId="093141F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11.西方地缘政治、地缘经济的理论建构及其历史研究</w:t>
      </w:r>
    </w:p>
    <w:p w14:paraId="41BB50C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12.世界进入新的动荡变革期的主要特征和发展态势研究</w:t>
      </w:r>
    </w:p>
    <w:p w14:paraId="4A17C6A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13.中国阐释学话语体系建构研究</w:t>
      </w:r>
    </w:p>
    <w:p w14:paraId="0D2CCA0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14.界面理论的汉语语法研究与人工智能汉语处理</w:t>
      </w:r>
    </w:p>
    <w:p w14:paraId="0A4EAAA9">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15.中国传统文论中的中华美育精神阐释研究</w:t>
      </w:r>
    </w:p>
    <w:p w14:paraId="06F5D98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16.世界文学与不同文明形态的交融与冲突研究</w:t>
      </w:r>
    </w:p>
    <w:p w14:paraId="20A607F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17.世界华人文学的跨语际实践与中国故事叙事策略研究</w:t>
      </w:r>
    </w:p>
    <w:p w14:paraId="1C8CBAB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18.扩大开放背景下统筹国内国际文化市场的体制机制研究</w:t>
      </w:r>
    </w:p>
    <w:p w14:paraId="5DE2ECF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19.中国式现代化的历史文化源流、创新实践与全球化价值研究</w:t>
      </w:r>
    </w:p>
    <w:p w14:paraId="65A9C9A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20.中西历史学知识体系建构比较研究</w:t>
      </w:r>
    </w:p>
    <w:p w14:paraId="3DAAB4AF">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21.医学考古学研究</w:t>
      </w:r>
    </w:p>
    <w:p w14:paraId="58E2785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22.古代居民健康与定居农业研究</w:t>
      </w:r>
    </w:p>
    <w:p w14:paraId="032E6DA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23.新质生产力理论体系与实践问题研究</w:t>
      </w:r>
    </w:p>
    <w:p w14:paraId="273087C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24.“十五五”时期世界经济走势及对我国经济高质量发展的影响及对策研究</w:t>
      </w:r>
    </w:p>
    <w:p w14:paraId="0BD6231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25.全口径消费统计的理论与中国实践研究</w:t>
      </w:r>
    </w:p>
    <w:p w14:paraId="310DA1A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26.金融稳定风险统计监测、预警及对策研究</w:t>
      </w:r>
    </w:p>
    <w:p w14:paraId="72FFF54F">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27.构建房地产发展新模式的理论创新与实现机制研究</w:t>
      </w:r>
    </w:p>
    <w:p w14:paraId="6072CFE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28.低空应用场景和需求培育总体思路研究</w:t>
      </w:r>
    </w:p>
    <w:p w14:paraId="2F9DF86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29.构建高水平社会主义市场经济体制的法治保障研究</w:t>
      </w:r>
    </w:p>
    <w:p w14:paraId="5A5059F1">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30.人工智能“深度伪造”对刑事司法的挑战及应对研究</w:t>
      </w:r>
    </w:p>
    <w:p w14:paraId="5797656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31.人工智能“内容生产”对青少年社会心态的影响及对策研究</w:t>
      </w:r>
    </w:p>
    <w:p w14:paraId="661A7EC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32.网络社会背景下人的社会化场景变化及其影响研究</w:t>
      </w:r>
    </w:p>
    <w:p w14:paraId="217F82E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33.人口发展趋势对经济安全的多重影响与战略应对研究</w:t>
      </w:r>
    </w:p>
    <w:p w14:paraId="33CC7D4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34.人口流动与县域城乡融合发展研究</w:t>
      </w:r>
    </w:p>
    <w:p w14:paraId="46EEE59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35.世界民族问题发展态势研究</w:t>
      </w:r>
    </w:p>
    <w:p w14:paraId="55EA685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36.当代中西民族政策比较研究</w:t>
      </w:r>
    </w:p>
    <w:p w14:paraId="1CB1719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37.构建适应全媒体内容生产的传播机制和评价体系研究</w:t>
      </w:r>
    </w:p>
    <w:p w14:paraId="5E5FE9ED">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38.互联网新闻信息服务管理面临的形势、问题及对策研究</w:t>
      </w:r>
    </w:p>
    <w:p w14:paraId="209DFFC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39.人工智能驱动的知识组织与图书馆服务研究</w:t>
      </w:r>
    </w:p>
    <w:p w14:paraId="686AC84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40.数智背景下档案数据要素治理生态构建研究</w:t>
      </w:r>
    </w:p>
    <w:p w14:paraId="6392ABE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41.《教育强国建设规划纲要》实施跟踪研究</w:t>
      </w:r>
    </w:p>
    <w:p w14:paraId="0CD9A1C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42.社会主义核心价值观教育成效评价研究</w:t>
      </w:r>
    </w:p>
    <w:p w14:paraId="141FEF2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43.新质生产力赋能体育高质量发展研究</w:t>
      </w:r>
    </w:p>
    <w:p w14:paraId="2275466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44.竞技体育管理体制和运行机制改革研究</w:t>
      </w:r>
    </w:p>
    <w:p w14:paraId="081ABA6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马克思主义理论/思想政治教育</w:t>
      </w:r>
    </w:p>
    <w:p w14:paraId="046DEB3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*1.习近平总书记关于党的自我革命重要思想研究</w:t>
      </w:r>
    </w:p>
    <w:p w14:paraId="07E5891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*2.习近平总书记关于加强党的作风建设重要论述研究</w:t>
      </w:r>
    </w:p>
    <w:p w14:paraId="0BC9886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*3.习近平总书记关于学校思政课建设重要论述研究</w:t>
      </w:r>
    </w:p>
    <w:p w14:paraId="4D82CF1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*4.习近平文化思想融入高校思政课教学的机制和路径研究</w:t>
      </w:r>
    </w:p>
    <w:p w14:paraId="2E4F0F2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*5.深化习近平新时代中国特色社会主义思想教学体系化研究</w:t>
      </w:r>
    </w:p>
    <w:p w14:paraId="2A06142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*6.“六个坚持”的内在逻辑、方法途径和实践要求研究</w:t>
      </w:r>
    </w:p>
    <w:p w14:paraId="4640F2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*7.中国式现代化的时代背景、本质要求和世界意义研究</w:t>
      </w:r>
    </w:p>
    <w:p w14:paraId="44A76871">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*8.标识性重大概念、原创性思想观点、原理性理论成果学理化研究</w:t>
      </w:r>
    </w:p>
    <w:p w14:paraId="655E8BD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*9.马克思主义与中华优秀传统文化契合性研究</w:t>
      </w:r>
    </w:p>
    <w:p w14:paraId="7728B52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*10.马克思主义现代化理论研究</w:t>
      </w:r>
    </w:p>
    <w:p w14:paraId="6FBAED3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*11.马克思主义与当代思潮前沿问题研究</w:t>
      </w:r>
    </w:p>
    <w:p w14:paraId="712B32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*12.马克思主义发展史、传播史和国际共产主义运动史、社会主义发展史研究</w:t>
      </w:r>
    </w:p>
    <w:p w14:paraId="2141B6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*13.当代资本主义新变化与国外马克思主义批判理论新动向研究</w:t>
      </w:r>
    </w:p>
    <w:p w14:paraId="7113B91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*14.海外习近平新时代中国特色社会主义思想研究追踪和引导</w:t>
      </w:r>
    </w:p>
    <w:p w14:paraId="1CB00E5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15.“大思政课”建设中有效激发学生主体性的路径研究</w:t>
      </w:r>
    </w:p>
    <w:p w14:paraId="2922933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16.新时代高质量思政课案例教学及案例库建设研究</w:t>
      </w:r>
    </w:p>
    <w:p w14:paraId="2E778C7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17.重庆市民办高校思政课教学质量提升研究</w:t>
      </w:r>
    </w:p>
    <w:p w14:paraId="3B555E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18.重庆市高校马克思主义学科布局现状研究</w:t>
      </w:r>
    </w:p>
    <w:p w14:paraId="5517D64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19.马克思主义理论学科建设与高校思政课改革创新协同发</w:t>
      </w:r>
    </w:p>
    <w:p w14:paraId="0E834F7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展研究</w:t>
      </w:r>
    </w:p>
    <w:p w14:paraId="5E8C1F2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20.高校思想政治理论课教学评价改革研究</w:t>
      </w:r>
    </w:p>
    <w:p w14:paraId="409431B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21.重庆市高校重点马克思主义学院、特色马克思主义学院建</w:t>
      </w:r>
    </w:p>
    <w:p w14:paraId="104376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设成效研究</w:t>
      </w:r>
    </w:p>
    <w:p w14:paraId="072B70E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22.重庆市大中小学思想政治教育一体化建设研究</w:t>
      </w:r>
    </w:p>
    <w:p w14:paraId="289658E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23.数智时代高校网络思想政治教育创新研究</w:t>
      </w:r>
    </w:p>
    <w:p w14:paraId="2ADC943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24.人工智能时代高校主流意识形态安全风险及化解机制研究</w:t>
      </w:r>
    </w:p>
    <w:p w14:paraId="6B2EF2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25.新时代高校学生社团育人功能优化提升研究</w:t>
      </w:r>
    </w:p>
    <w:p w14:paraId="0309928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26.重庆市红色文化融入思想政治教育一体化的途径与策略研究</w:t>
      </w:r>
    </w:p>
    <w:p w14:paraId="637582CB">
      <w:pPr>
        <w:spacing w:line="600" w:lineRule="exact"/>
        <w:ind w:firstLine="640"/>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default" w:ascii="Times New Roman" w:hAnsi="Times New Roman" w:eastAsia="方正仿宋_GBK" w:cs="Times New Roman"/>
          <w:color w:val="000000" w:themeColor="text1"/>
          <w:kern w:val="0"/>
          <w:sz w:val="32"/>
          <w:szCs w:val="32"/>
          <w14:textFill>
            <w14:solidFill>
              <w14:schemeClr w14:val="tx1"/>
            </w14:solidFill>
          </w14:textFill>
        </w:rPr>
        <w:br w:type="page"/>
      </w:r>
    </w:p>
    <w:p w14:paraId="2E27A0A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哲学</w:t>
      </w:r>
    </w:p>
    <w:p w14:paraId="414A162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*1.习近平文化思想的哲学基础研究</w:t>
      </w:r>
    </w:p>
    <w:p w14:paraId="523FE16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*2.文化强国建设的马克思主义哲学基础研究</w:t>
      </w:r>
    </w:p>
    <w:p w14:paraId="77B812F2">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*3.马克思主义中国化时代化的文明根基、历史进程和基本经验研究</w:t>
      </w:r>
    </w:p>
    <w:p w14:paraId="6BBBD3E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*4.马克思主义科技观的当代发展与现实意义研究</w:t>
      </w:r>
    </w:p>
    <w:p w14:paraId="1FBC7C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*5.马克思主义哲学经典文本与当代意义研究</w:t>
      </w:r>
    </w:p>
    <w:p w14:paraId="1D05621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*6.当代西方政治哲学前沿问题与发展趋势研究</w:t>
      </w:r>
    </w:p>
    <w:p w14:paraId="7290B1A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*7.马克思主义世界历史理论与当代意义研究</w:t>
      </w:r>
    </w:p>
    <w:p w14:paraId="33FCD87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*8.中西马克思主义哲学对话与当代中国哲学体系构建研究</w:t>
      </w:r>
    </w:p>
    <w:p w14:paraId="060A3ED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*9.科技时代伦理学基础理论创新与前沿挑战研究</w:t>
      </w:r>
    </w:p>
    <w:p w14:paraId="521A0C4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*10.中国哲学基础问题与当代价值研究</w:t>
      </w:r>
    </w:p>
    <w:p w14:paraId="4C5707B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11.中华传统美德传承与发展研究</w:t>
      </w:r>
    </w:p>
    <w:p w14:paraId="41D0E41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12.中华美学精神与美学理论研究</w:t>
      </w:r>
    </w:p>
    <w:p w14:paraId="05CACE3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13.人工智能与科技伦理研究</w:t>
      </w:r>
    </w:p>
    <w:p w14:paraId="50563D5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14.人工智能技术变革下知识产权伦理问题研究</w:t>
      </w:r>
    </w:p>
    <w:p w14:paraId="177B39C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15.社会发展与社会风险的哲学研究</w:t>
      </w:r>
    </w:p>
    <w:p w14:paraId="6D632EB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16.逻辑学基础理论与前沿问题研究</w:t>
      </w:r>
    </w:p>
    <w:p w14:paraId="110557D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17.当代科技前沿重大问题哲学研究</w:t>
      </w:r>
    </w:p>
    <w:p w14:paraId="15078FB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18.交叉学科视域下的科技发展哲学与伦理规范研究</w:t>
      </w:r>
    </w:p>
    <w:p w14:paraId="2452F34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19.民间信仰与中华民族共同体意识的地方实践研究</w:t>
      </w:r>
    </w:p>
    <w:p w14:paraId="5E218405">
      <w:pPr>
        <w:spacing w:line="600" w:lineRule="exact"/>
        <w:ind w:firstLine="0" w:firstLineChars="0"/>
        <w:rPr>
          <w:rFonts w:hint="default" w:ascii="Times New Roman" w:hAnsi="Times New Roman" w:eastAsia="方正仿宋_GBK" w:cs="Times New Roman"/>
          <w:bCs/>
          <w:color w:val="000000" w:themeColor="text1"/>
          <w:kern w:val="0"/>
          <w:sz w:val="32"/>
          <w:szCs w:val="32"/>
          <w14:textFill>
            <w14:solidFill>
              <w14:schemeClr w14:val="tx1"/>
            </w14:solidFill>
          </w14:textFill>
        </w:rPr>
        <w:sectPr>
          <w:headerReference r:id="rId17" w:type="default"/>
          <w:footerReference r:id="rId18" w:type="default"/>
          <w:pgSz w:w="11906" w:h="16838"/>
          <w:pgMar w:top="1985" w:right="1446" w:bottom="1644" w:left="1446" w:header="851" w:footer="992" w:gutter="0"/>
          <w:cols w:space="425" w:num="1"/>
          <w:docGrid w:type="lines" w:linePitch="312" w:charSpace="0"/>
        </w:sectPr>
      </w:pPr>
    </w:p>
    <w:p w14:paraId="46D2AF8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政治学</w:t>
      </w:r>
    </w:p>
    <w:p w14:paraId="1BA47D4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*1.习近平总书记关于党的自我革命重要思想的学理化研究</w:t>
      </w:r>
    </w:p>
    <w:p w14:paraId="1065C45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*2.中国共产党思想建党的历史经验研究</w:t>
      </w:r>
    </w:p>
    <w:p w14:paraId="2B2ADB8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*3.深化党的建设制度改革的理论与实践研究</w:t>
      </w:r>
    </w:p>
    <w:p w14:paraId="2634CFA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*4.强化基层党组织政治功能和组织功能的实践进路研究</w:t>
      </w:r>
    </w:p>
    <w:p w14:paraId="530E9B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*5.人工智能时代背景下党员教育管理创新研究</w:t>
      </w:r>
    </w:p>
    <w:p w14:paraId="7266A37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*6.加强科技创新型企业党建工作研究</w:t>
      </w:r>
    </w:p>
    <w:p w14:paraId="6699F56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*7.加强新时代廉洁文化建设研究</w:t>
      </w:r>
    </w:p>
    <w:p w14:paraId="3B6957B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*8.新时代党的作风建设常态化长效化机制研究</w:t>
      </w:r>
    </w:p>
    <w:p w14:paraId="535646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*9.纪检监察法律法规体系研究</w:t>
      </w:r>
    </w:p>
    <w:p w14:paraId="2FDF03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*10.党建引领基层治理和基层政权建设研究</w:t>
      </w:r>
    </w:p>
    <w:p w14:paraId="1996D80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*11.政务数据赋能数字政府效能提升的机制与路径研究</w:t>
      </w:r>
    </w:p>
    <w:p w14:paraId="4AEABF7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*12.大数据算法对政治安全的影响分析及治理研究</w:t>
      </w:r>
    </w:p>
    <w:p w14:paraId="2AC0FFA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*13.政党、人民和国家关系的理论建构研究</w:t>
      </w:r>
    </w:p>
    <w:p w14:paraId="491D141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14.新时代统一战线工作的新特点与新思路研究</w:t>
      </w:r>
    </w:p>
    <w:p w14:paraId="7B99AA4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15.超大城市更新行动与基层治理能力提升研究</w:t>
      </w:r>
    </w:p>
    <w:p w14:paraId="512718E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16.超大城市社会治理的数智赋能研究</w:t>
      </w:r>
    </w:p>
    <w:p w14:paraId="63F4048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17.行业协会商会党建标准化和综合监管机制研究</w:t>
      </w:r>
    </w:p>
    <w:p w14:paraId="235F87D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18.新时代新就业群体服务管理研究</w:t>
      </w:r>
    </w:p>
    <w:p w14:paraId="22EBFF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19.引导社会力量参与社区治理途径研究</w:t>
      </w:r>
    </w:p>
    <w:p w14:paraId="52BC7A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20.基层协商议事机制研究</w:t>
      </w:r>
    </w:p>
    <w:p w14:paraId="23AA9A0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21.重庆基层治理创新的典型案例和成效评价研究</w:t>
      </w:r>
    </w:p>
    <w:p w14:paraId="62E3E1E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22.健全重庆市基层民主制度研究</w:t>
      </w:r>
    </w:p>
    <w:p w14:paraId="5B5E08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23.重庆完善重大决策社会稳定和安全风险评估工作机制研究</w:t>
      </w:r>
    </w:p>
    <w:p w14:paraId="418653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24.重庆完善社会矛盾纠纷多元预防调处化解综合机制研究</w:t>
      </w:r>
    </w:p>
    <w:p w14:paraId="594ECF44">
      <w:pPr>
        <w:spacing w:line="600" w:lineRule="exact"/>
        <w:ind w:firstLine="64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br w:type="page"/>
      </w:r>
    </w:p>
    <w:p w14:paraId="3F723C92">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国际问题研究</w:t>
      </w:r>
    </w:p>
    <w:p w14:paraId="1C8A70DA">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*1.习近平外交思想研究</w:t>
      </w:r>
    </w:p>
    <w:p w14:paraId="06181D7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*2.周边国家对华认知与文化倾向研究</w:t>
      </w:r>
    </w:p>
    <w:p w14:paraId="662DF4A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*3.大国博弈和地缘政治风险对我国粮食安全的影响及对策研究</w:t>
      </w:r>
    </w:p>
    <w:p w14:paraId="0C108A63">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*4.主要发达国家颠覆性技术发展、项目布局及新兴方向研究</w:t>
      </w:r>
    </w:p>
    <w:p w14:paraId="71999CE7">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*5.世界主要国家政党政治发展的新特点与新走向研究</w:t>
      </w:r>
    </w:p>
    <w:p w14:paraId="2D2538D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*6.对外人才队伍建设与培养研究</w:t>
      </w:r>
    </w:p>
    <w:p w14:paraId="080156D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7.重庆服务对外开放大局面临问题与挑战研究</w:t>
      </w:r>
    </w:p>
    <w:p w14:paraId="366C157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8.重庆重点交往国家和地区的区域国别研究</w:t>
      </w:r>
    </w:p>
    <w:p w14:paraId="6B80875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9.重庆跨境区域合作研究</w:t>
      </w:r>
    </w:p>
    <w:p w14:paraId="3CD5F4C5">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10.国际友城合作提质增效与创新模式研究</w:t>
      </w:r>
    </w:p>
    <w:p w14:paraId="771BF85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11.提升重庆国际传播效能与对外话语阐释研究</w:t>
      </w:r>
    </w:p>
    <w:p w14:paraId="0712119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12.重庆应对涉外突发事件的机制与策略研究</w:t>
      </w:r>
    </w:p>
    <w:p w14:paraId="5B39C9DC">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13.重庆企业出海重点区域国别法律风险防范研究</w:t>
      </w:r>
    </w:p>
    <w:p w14:paraId="5301EE5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14.服务国家外交大局背景下重庆对外工作能力建设路径研究</w:t>
      </w:r>
    </w:p>
    <w:p w14:paraId="0C223FC7">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18F56E8A">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1A9E754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4C061A2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21254F10">
      <w:pPr>
        <w:widowControl w:val="0"/>
        <w:spacing w:line="360" w:lineRule="auto"/>
        <w:ind w:firstLine="0" w:firstLineChars="0"/>
        <w:rPr>
          <w:rFonts w:ascii="仿宋_GB2312" w:hAnsi="Times New Roman" w:eastAsia="仿宋_GB2312"/>
          <w:sz w:val="32"/>
          <w:szCs w:val="32"/>
        </w:rPr>
      </w:pPr>
    </w:p>
    <w:p w14:paraId="2F56E1F2">
      <w:pPr>
        <w:widowControl w:val="0"/>
        <w:spacing w:line="360" w:lineRule="auto"/>
        <w:ind w:firstLine="0" w:firstLineChars="0"/>
        <w:rPr>
          <w:rFonts w:ascii="仿宋_GB2312" w:hAnsi="Times New Roman" w:eastAsia="仿宋_GB2312"/>
          <w:sz w:val="32"/>
          <w:szCs w:val="32"/>
        </w:rPr>
      </w:pPr>
    </w:p>
    <w:p w14:paraId="3326BF2E">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语言学</w:t>
      </w:r>
    </w:p>
    <w:p w14:paraId="70811F6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*1.文化认知语言学体系建构与汉语的文化认知研究</w:t>
      </w:r>
    </w:p>
    <w:p w14:paraId="249D93A6">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*2.中国文学在东南亚翻译传播史研究</w:t>
      </w:r>
    </w:p>
    <w:p w14:paraId="4C35FED3">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*3.服务新质生产力的语言智能关键技术与大语言模型语料库建设研究</w:t>
      </w:r>
    </w:p>
    <w:p w14:paraId="4E7DD558">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*4.人机交互与国家安全语境下的语用能力与话语策略研究</w:t>
      </w:r>
    </w:p>
    <w:p w14:paraId="4C6E720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*5.数智化赋能国际中文教育创新与中华文化沉浸式传播研究</w:t>
      </w:r>
    </w:p>
    <w:p w14:paraId="44184C75">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*6.文明互鉴视域下的汉字理论体系比较与话语权构建研究</w:t>
      </w:r>
    </w:p>
    <w:p w14:paraId="7339F1E7">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*7.中华经典注释传统的现代转化与当代价值阐释研究</w:t>
      </w:r>
    </w:p>
    <w:p w14:paraId="11021D1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8.文言文智能翻译与中华思想知识图谱构建研究</w:t>
      </w:r>
    </w:p>
    <w:p w14:paraId="19238E1F">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9.大数据驱动的高端应用翻译与行业语言服务研究</w:t>
      </w:r>
    </w:p>
    <w:p w14:paraId="040FF1AA">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10.中国典籍外译与融通中外的新概念、新范畴、新表述研究</w:t>
      </w:r>
    </w:p>
    <w:p w14:paraId="72B6B54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11.人机协同的翻译范式变革与高端翻译人才培养重塑研究</w:t>
      </w:r>
    </w:p>
    <w:p w14:paraId="6655AA01">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12.区域文化“走出去”的跨媒介叙事与传播效能研究</w:t>
      </w:r>
    </w:p>
    <w:p w14:paraId="7F67C532">
      <w:pPr>
        <w:widowControl w:val="0"/>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13.国家通用语言文字普及提升与区域儿童语言能力发展跟踪研究</w:t>
      </w:r>
    </w:p>
    <w:p w14:paraId="4B051164">
      <w:pPr>
        <w:widowControl w:val="0"/>
        <w:spacing w:line="600" w:lineRule="exact"/>
        <w:ind w:left="502" w:hanging="502" w:hangingChars="157"/>
        <w:rPr>
          <w:rFonts w:ascii="Times New Roman" w:hAnsi="Times New Roman" w:eastAsia="方正仿宋_GBK" w:cs="Times New Roman"/>
          <w:color w:val="000000" w:themeColor="text1"/>
          <w:sz w:val="32"/>
          <w:szCs w:val="32"/>
          <w14:textFill>
            <w14:solidFill>
              <w14:schemeClr w14:val="tx1"/>
            </w14:solidFill>
          </w14:textFill>
        </w:rPr>
      </w:pPr>
    </w:p>
    <w:p w14:paraId="1C78F77B">
      <w:pPr>
        <w:pStyle w:val="2"/>
        <w:spacing w:before="0" w:after="0" w:line="600" w:lineRule="exact"/>
        <w:ind w:firstLine="0" w:firstLineChars="0"/>
        <w:jc w:val="center"/>
        <w:rPr>
          <w:rFonts w:ascii="Times New Roman" w:hAnsi="Times New Roman" w:eastAsia="方正仿宋_GBK" w:cs="Times New Roman"/>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67BAEE77">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中国文学</w:t>
      </w:r>
    </w:p>
    <w:p w14:paraId="095B41B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*1.中国当代小说对叙事传统的传承与创新研究</w:t>
      </w:r>
    </w:p>
    <w:p w14:paraId="0CF403D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*2.中国现当代作家阅读史编纂与研究</w:t>
      </w:r>
    </w:p>
    <w:p w14:paraId="0842F43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*3.中国百年类型文学传承创新与海外传播研究</w:t>
      </w:r>
    </w:p>
    <w:p w14:paraId="0BA0B26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*4.中华民族现代文明视域下的文学理论批评话语构建研究</w:t>
      </w:r>
    </w:p>
    <w:p w14:paraId="2EE92F5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*5.中国古代文体的融通演变及其规律研究</w:t>
      </w:r>
    </w:p>
    <w:p w14:paraId="42CA54E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6.中国现当代文学经典的时代价值研究</w:t>
      </w:r>
    </w:p>
    <w:p w14:paraId="6729020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7.民间文艺的数字化建档、活态传承与共同体意识研究</w:t>
      </w:r>
    </w:p>
    <w:p w14:paraId="2B3ECE8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8.断代文学文献的整理方法与学术体系建构研究</w:t>
      </w:r>
    </w:p>
    <w:p w14:paraId="23852B8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9.文学书写中的地域认同与国家意象研究</w:t>
      </w:r>
    </w:p>
    <w:p w14:paraId="46E33C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10.重庆民间文艺的发展脉络与文化动力研究</w:t>
      </w:r>
    </w:p>
    <w:p w14:paraId="1684659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11.伟大抗战精神研究</w:t>
      </w:r>
    </w:p>
    <w:p w14:paraId="70393C2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12.红色文化、巴蜀文化融合发展研究</w:t>
      </w:r>
    </w:p>
    <w:p w14:paraId="5EC55ACA">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5438E141">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25266DB5">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4E4B6C3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外国文学</w:t>
      </w:r>
    </w:p>
    <w:p w14:paraId="3E83E51B">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*1.人类命运共同体视域下的世界文学文明互鉴研究</w:t>
      </w:r>
    </w:p>
    <w:p w14:paraId="64F91632">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*2.外国文学中现代性问题的重新审视与研究</w:t>
      </w:r>
    </w:p>
    <w:p w14:paraId="42D570C1">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*3.外国文学中的博物馆、档案与文化遗产书写研究</w:t>
      </w:r>
    </w:p>
    <w:p w14:paraId="115367DE">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*4.中外比较文学重要理论家研究</w:t>
      </w:r>
    </w:p>
    <w:p w14:paraId="47C47BA0">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*5.中外科幻文学与当下问题研究</w:t>
      </w:r>
    </w:p>
    <w:p w14:paraId="57C78A02">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6.中外文学中的城乡书写研究</w:t>
      </w:r>
    </w:p>
    <w:p w14:paraId="1D064340">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7.数字人文视野下的中外文学研究范式转型</w:t>
      </w:r>
    </w:p>
    <w:p w14:paraId="144E9D88">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8.外国现当代重要作家、作品与文学现象研究</w:t>
      </w:r>
    </w:p>
    <w:p w14:paraId="26FE357C">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9.中外文论的对话与互构研究</w:t>
      </w:r>
    </w:p>
    <w:p w14:paraId="0156B00A">
      <w:pPr>
        <w:widowControl w:val="0"/>
        <w:spacing w:line="600" w:lineRule="exact"/>
        <w:ind w:left="502" w:hanging="502" w:hangingChars="157"/>
        <w:rPr>
          <w:rFonts w:ascii="仿宋_GB2312" w:eastAsia="仿宋_GB2312"/>
          <w:sz w:val="32"/>
          <w:szCs w:val="32"/>
        </w:rPr>
      </w:pPr>
      <w:r>
        <w:rPr>
          <w:rFonts w:hint="default" w:ascii="Times New Roman" w:hAnsi="Times New Roman" w:eastAsia="方正仿宋_GBK" w:cs="Times New Roman"/>
          <w:sz w:val="32"/>
          <w:szCs w:val="32"/>
        </w:rPr>
        <w:t>10.比较文学“中国学派”研究</w:t>
      </w:r>
      <w:r>
        <w:rPr>
          <w:rFonts w:ascii="仿宋_GB2312" w:eastAsia="仿宋_GB2312"/>
          <w:sz w:val="32"/>
          <w:szCs w:val="32"/>
        </w:rPr>
        <w:br w:type="page"/>
      </w:r>
    </w:p>
    <w:p w14:paraId="75AC28E0">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艺术学</w:t>
      </w:r>
    </w:p>
    <w:p w14:paraId="68A910E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*1.和美乡村景观设计理论与实践研究</w:t>
      </w:r>
    </w:p>
    <w:p w14:paraId="38F9AF0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*2.新质生产力视角下重庆工业棕地景观更新设计研究</w:t>
      </w:r>
    </w:p>
    <w:p w14:paraId="5DBD76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*3.重庆文化艺术产业提振研究</w:t>
      </w:r>
    </w:p>
    <w:p w14:paraId="4880210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4.重庆影视专题研究</w:t>
      </w:r>
    </w:p>
    <w:p w14:paraId="767FB52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5.重庆戏曲专题研究</w:t>
      </w:r>
    </w:p>
    <w:p w14:paraId="1C55681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6.重庆音乐专题研究</w:t>
      </w:r>
    </w:p>
    <w:p w14:paraId="1386385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7.重庆美术专题研究</w:t>
      </w:r>
    </w:p>
    <w:p w14:paraId="1F2CCF4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8.重庆雕塑专题研究</w:t>
      </w:r>
    </w:p>
    <w:p w14:paraId="1518B6E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9.重庆书法专题研究</w:t>
      </w:r>
    </w:p>
    <w:p w14:paraId="702E7DA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default" w:ascii="Times New Roman" w:hAnsi="Times New Roman" w:eastAsia="方正仿宋_GBK" w:cs="Times New Roman"/>
          <w:sz w:val="32"/>
          <w:szCs w:val="32"/>
        </w:rPr>
        <w:t>10.重庆建筑专题研究</w:t>
      </w:r>
      <w:r>
        <w:rPr>
          <w:rFonts w:ascii="Times New Roman" w:hAnsi="Times New Roman" w:eastAsia="方正仿宋_GBK" w:cs="Times New Roman"/>
          <w:bCs/>
          <w:color w:val="000000" w:themeColor="text1"/>
          <w:kern w:val="0"/>
          <w:sz w:val="32"/>
          <w:szCs w:val="32"/>
          <w14:textFill>
            <w14:solidFill>
              <w14:schemeClr w14:val="tx1"/>
            </w14:solidFill>
          </w14:textFill>
        </w:rPr>
        <w:br w:type="page"/>
      </w:r>
    </w:p>
    <w:p w14:paraId="429794E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0" w:name="_Toc60086866"/>
      <w:r>
        <w:rPr>
          <w:rFonts w:hint="eastAsia" w:ascii="方正黑体_GBK" w:hAnsi="黑体" w:eastAsia="方正黑体_GBK" w:cs="宋体"/>
          <w:bCs/>
          <w:color w:val="000000" w:themeColor="text1"/>
          <w:kern w:val="0"/>
          <w:sz w:val="32"/>
          <w:szCs w:val="32"/>
          <w14:textFill>
            <w14:solidFill>
              <w14:schemeClr w14:val="tx1"/>
            </w14:solidFill>
          </w14:textFill>
        </w:rPr>
        <w:t>历史</w:t>
      </w:r>
      <w:bookmarkEnd w:id="0"/>
      <w:r>
        <w:rPr>
          <w:rFonts w:hint="eastAsia" w:ascii="方正黑体_GBK" w:hAnsi="黑体" w:eastAsia="方正黑体_GBK" w:cs="宋体"/>
          <w:bCs/>
          <w:color w:val="000000" w:themeColor="text1"/>
          <w:kern w:val="0"/>
          <w:sz w:val="32"/>
          <w:szCs w:val="32"/>
          <w14:textFill>
            <w14:solidFill>
              <w14:schemeClr w14:val="tx1"/>
            </w14:solidFill>
          </w14:textFill>
        </w:rPr>
        <w:t>学</w:t>
      </w:r>
    </w:p>
    <w:p w14:paraId="4C378FDF">
      <w:pPr>
        <w:spacing w:line="600" w:lineRule="exact"/>
        <w:ind w:firstLine="0" w:firstLineChars="0"/>
        <w:rPr>
          <w:rFonts w:hint="default" w:ascii="Times New Roman" w:hAnsi="Times New Roman" w:eastAsia="方正仿宋_GBK" w:cs="Times New Roman"/>
          <w:sz w:val="32"/>
          <w:szCs w:val="32"/>
        </w:rPr>
      </w:pPr>
      <w:bookmarkStart w:id="1" w:name="_Toc60086868"/>
      <w:r>
        <w:rPr>
          <w:rFonts w:hint="default" w:ascii="Times New Roman" w:hAnsi="Times New Roman" w:eastAsia="方正仿宋_GBK" w:cs="Times New Roman"/>
          <w:sz w:val="32"/>
          <w:szCs w:val="32"/>
        </w:rPr>
        <w:t>*1.中国历代水运与国家治理研究</w:t>
      </w:r>
    </w:p>
    <w:p w14:paraId="0A973BD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*2.重庆作为国家战略腹地的历史贡献研究</w:t>
      </w:r>
    </w:p>
    <w:p w14:paraId="66DED10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*3.世界商业战争史研究</w:t>
      </w:r>
    </w:p>
    <w:p w14:paraId="0D0545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4.交通体系的演变与现代重庆城市变动研究</w:t>
      </w:r>
    </w:p>
    <w:p w14:paraId="1E3E3D9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5.重庆海关历史档案整理与研究</w:t>
      </w:r>
    </w:p>
    <w:p w14:paraId="54CE343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6.抗战时期国民政府军事工业管理与运作研究</w:t>
      </w:r>
    </w:p>
    <w:p w14:paraId="05B69BD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7.抗战时期重庆地区出版史研究</w:t>
      </w:r>
    </w:p>
    <w:p w14:paraId="498664B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8.抗战时期大后方美术文献整理与研究</w:t>
      </w:r>
    </w:p>
    <w:p w14:paraId="43D2D53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9.抗战大后方乡村社会调查资料整理与研究</w:t>
      </w:r>
    </w:p>
    <w:p w14:paraId="0A4A67D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10.中国中医学史研究</w:t>
      </w:r>
    </w:p>
    <w:p w14:paraId="637D5F51">
      <w:pPr>
        <w:spacing w:line="360" w:lineRule="auto"/>
        <w:ind w:left="502" w:hanging="502" w:hangingChars="157"/>
        <w:rPr>
          <w:rFonts w:ascii="仿宋_GB2312" w:eastAsia="仿宋_GB2312"/>
          <w:sz w:val="32"/>
          <w:szCs w:val="32"/>
          <w:highlight w:val="yellow"/>
        </w:rPr>
      </w:pPr>
    </w:p>
    <w:p w14:paraId="5BBE8E93">
      <w:pPr>
        <w:spacing w:line="360" w:lineRule="auto"/>
        <w:ind w:left="502" w:hanging="502" w:hangingChars="157"/>
        <w:rPr>
          <w:rFonts w:ascii="仿宋_GB2312" w:eastAsia="仿宋_GB2312"/>
          <w:sz w:val="32"/>
          <w:szCs w:val="32"/>
          <w:highlight w:val="yellow"/>
        </w:rPr>
        <w:sectPr>
          <w:pgSz w:w="11906" w:h="16838"/>
          <w:pgMar w:top="1701" w:right="1418" w:bottom="1418" w:left="1418" w:header="851" w:footer="992" w:gutter="0"/>
          <w:cols w:space="425" w:num="1"/>
          <w:docGrid w:type="lines" w:linePitch="312" w:charSpace="0"/>
        </w:sectPr>
      </w:pPr>
    </w:p>
    <w:p w14:paraId="387089A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考古学</w:t>
      </w:r>
      <w:bookmarkEnd w:id="1"/>
    </w:p>
    <w:p w14:paraId="505E776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*1.重庆地区环境变化与区域文明兴衰的考古学研究</w:t>
      </w:r>
    </w:p>
    <w:p w14:paraId="5316B3A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2.三峡原始先民的人居环境研究</w:t>
      </w:r>
    </w:p>
    <w:p w14:paraId="28F711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3.动物考古视角下的重庆地区古环境研究</w:t>
      </w:r>
    </w:p>
    <w:p w14:paraId="296E8F1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4.重庆地区古代墓葬发掘资料整理与研究</w:t>
      </w:r>
    </w:p>
    <w:p w14:paraId="11742C6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5.考古视角下巴蜀政治中心的变迁研究</w:t>
      </w:r>
    </w:p>
    <w:p w14:paraId="30D7B34C">
      <w:pPr>
        <w:spacing w:line="600" w:lineRule="exact"/>
        <w:ind w:firstLine="640"/>
        <w:rPr>
          <w:rFonts w:ascii="仿宋_GB2312" w:eastAsia="仿宋_GB2312"/>
          <w:sz w:val="32"/>
          <w:szCs w:val="32"/>
        </w:rPr>
      </w:pPr>
      <w:r>
        <w:rPr>
          <w:rFonts w:hint="eastAsia" w:ascii="仿宋_GB2312" w:eastAsia="仿宋_GB2312"/>
          <w:sz w:val="32"/>
          <w:szCs w:val="32"/>
        </w:rPr>
        <w:br w:type="page"/>
      </w:r>
    </w:p>
    <w:p w14:paraId="5E06429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经济学</w:t>
      </w:r>
    </w:p>
    <w:p w14:paraId="3134E4A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*1.“十五五”时期重庆经济社会发展面临的机遇与挑战研究</w:t>
      </w:r>
    </w:p>
    <w:p w14:paraId="5535DAE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*2.“十五五”时期重庆经济社会发展的目标任务研究</w:t>
      </w:r>
    </w:p>
    <w:p w14:paraId="0E1B94C8">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*3.成渝地区双城经济圈加快构建世界级先进制造业集群体系研究</w:t>
      </w:r>
    </w:p>
    <w:p w14:paraId="53276D5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*4.成渝地区双城经济圈要素市场化配置研究</w:t>
      </w:r>
    </w:p>
    <w:p w14:paraId="2A9B3E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*5.重庆服务融入全国统一大市场建设与国内大循环研究</w:t>
      </w:r>
    </w:p>
    <w:p w14:paraId="20C5639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*6.西部陆海新通道提质建设研究</w:t>
      </w:r>
    </w:p>
    <w:p w14:paraId="4F8B64C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*7.重庆建设国际消费中心城市研究</w:t>
      </w:r>
    </w:p>
    <w:p w14:paraId="31A567CE">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8.中国式现代化进程中的基本公共服务均等化与共同富裕关系研究</w:t>
      </w:r>
    </w:p>
    <w:p w14:paraId="318C10F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9.重庆推进新型城镇化研究</w:t>
      </w:r>
    </w:p>
    <w:p w14:paraId="6572D5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10.重庆推动农村一二三产</w:t>
      </w:r>
      <w:r>
        <w:rPr>
          <w:rFonts w:hint="default" w:ascii="Times New Roman" w:hAnsi="Times New Roman" w:eastAsia="方正仿宋_GBK" w:cs="Times New Roman"/>
          <w:color w:val="000000" w:themeColor="text1"/>
          <w:sz w:val="32"/>
          <w:szCs w:val="32"/>
          <w14:textFill>
            <w14:solidFill>
              <w14:schemeClr w14:val="tx1"/>
            </w14:solidFill>
          </w14:textFill>
        </w:rPr>
        <w:t>业深度</w:t>
      </w:r>
      <w:r>
        <w:rPr>
          <w:rFonts w:hint="default" w:ascii="Times New Roman" w:hAnsi="Times New Roman" w:eastAsia="方正仿宋_GBK" w:cs="Times New Roman"/>
          <w:sz w:val="32"/>
          <w:szCs w:val="32"/>
        </w:rPr>
        <w:t>融合发展研究</w:t>
      </w:r>
    </w:p>
    <w:p w14:paraId="0182E00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11.重庆粮食生产与安全保障研究</w:t>
      </w:r>
    </w:p>
    <w:p w14:paraId="14D9C34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12.重庆建设城乡融合乡村振兴示范区研究</w:t>
      </w:r>
    </w:p>
    <w:p w14:paraId="1EF5D8D6">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13.重庆促进小农户与现代农业有机衔接的实践模式研究</w:t>
      </w:r>
    </w:p>
    <w:p w14:paraId="588C4456">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14.重庆县域经济特色化发展路径与政策支持研究</w:t>
      </w:r>
    </w:p>
    <w:p w14:paraId="5EC74D85">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15.重庆银发经济发展潜力与推进策略研究</w:t>
      </w:r>
    </w:p>
    <w:p w14:paraId="0125B7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16.重庆打造民营经济发展高地研究</w:t>
      </w:r>
    </w:p>
    <w:p w14:paraId="1F04BD0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17.重庆做大做强“33618”现代制造业集群体系研究</w:t>
      </w:r>
    </w:p>
    <w:p w14:paraId="13D5A9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18.重庆以“人工智能+”赋能实体经济的路径研究</w:t>
      </w:r>
    </w:p>
    <w:p w14:paraId="06DB288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19.重庆构建低空经济产业集群研究</w:t>
      </w:r>
    </w:p>
    <w:p w14:paraId="20AF160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20.重庆布局发展6G产业的路径研究</w:t>
      </w:r>
    </w:p>
    <w:p w14:paraId="77ED6A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21.重庆布局发展未来产业的路径研究</w:t>
      </w:r>
    </w:p>
    <w:p w14:paraId="6A216D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22.重庆促进服务消费高质量发展研究</w:t>
      </w:r>
    </w:p>
    <w:p w14:paraId="1F73740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23.重庆促进消费与产业联动升级研究</w:t>
      </w:r>
    </w:p>
    <w:p w14:paraId="2B376C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24.城市更新对农业转移人口市民化的影响研究</w:t>
      </w:r>
    </w:p>
    <w:p w14:paraId="084E99B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25.人工智能发展对重庆大学生就业的影响研究</w:t>
      </w:r>
    </w:p>
    <w:p w14:paraId="4A6C547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26.重庆制造企业数字化转型研究</w:t>
      </w:r>
    </w:p>
    <w:p w14:paraId="38F1B95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27.重庆构建绿色安全高效智慧新型能源体系研究</w:t>
      </w:r>
    </w:p>
    <w:p w14:paraId="2C60237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28.重庆对外贸易高质量发展研究</w:t>
      </w:r>
    </w:p>
    <w:p w14:paraId="7F3D2C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29.重庆专精特新中小企业自生能力提升研究</w:t>
      </w:r>
    </w:p>
    <w:p w14:paraId="39A8D578">
      <w:pPr>
        <w:spacing w:line="600" w:lineRule="exact"/>
        <w:ind w:firstLine="0" w:firstLineChars="0"/>
        <w:jc w:val="left"/>
        <w:rPr>
          <w:rFonts w:hint="default" w:ascii="Times New Roman" w:hAnsi="Times New Roman" w:eastAsia="方正仿宋_GBK" w:cs="Times New Roman"/>
          <w:color w:val="000000" w:themeColor="text1"/>
          <w:w w:val="98"/>
          <w:sz w:val="32"/>
          <w:szCs w:val="32"/>
          <w14:textFill>
            <w14:solidFill>
              <w14:schemeClr w14:val="tx1"/>
            </w14:solidFill>
          </w14:textFill>
        </w:rPr>
      </w:pPr>
      <w:r>
        <w:rPr>
          <w:rFonts w:hint="default" w:ascii="Times New Roman" w:hAnsi="Times New Roman" w:eastAsia="方正仿宋_GBK" w:cs="Times New Roman"/>
          <w:sz w:val="32"/>
          <w:szCs w:val="32"/>
        </w:rPr>
        <w:t>30.</w:t>
      </w:r>
      <w:r>
        <w:rPr>
          <w:rFonts w:hint="default" w:ascii="Times New Roman" w:hAnsi="Times New Roman" w:eastAsia="方正仿宋_GBK" w:cs="Times New Roman"/>
          <w:color w:val="000000" w:themeColor="text1"/>
          <w:w w:val="98"/>
          <w:sz w:val="32"/>
          <w:szCs w:val="32"/>
          <w14:textFill>
            <w14:solidFill>
              <w14:schemeClr w14:val="tx1"/>
            </w14:solidFill>
          </w14:textFill>
        </w:rPr>
        <w:t>重庆推动现代服务业与先进制造业深度融合的机制与路径研究</w:t>
      </w:r>
    </w:p>
    <w:p w14:paraId="1D123B8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31.重庆推动现代服务业与现代农业深度融合的机制与路径研究</w:t>
      </w:r>
    </w:p>
    <w:p w14:paraId="5F828933">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32.重庆扩大服务消费潜力的重点领域与政策支持研究</w:t>
      </w:r>
    </w:p>
    <w:p w14:paraId="2DD65D9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33.重庆数字贸易创新发展研究</w:t>
      </w:r>
    </w:p>
    <w:p w14:paraId="13D1518F">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34.重庆完善农业社会化服务体系研究</w:t>
      </w:r>
    </w:p>
    <w:p w14:paraId="68D0B64F">
      <w:pPr>
        <w:spacing w:line="600" w:lineRule="exact"/>
        <w:ind w:firstLine="0" w:firstLineChars="0"/>
        <w:rPr>
          <w:rFonts w:ascii="仿宋" w:hAnsi="仿宋" w:eastAsia="仿宋" w:cs="仿宋"/>
          <w:color w:val="333333"/>
          <w:sz w:val="32"/>
          <w:szCs w:val="32"/>
          <w:shd w:val="clear" w:color="auto" w:fill="FFFFFF"/>
        </w:rPr>
      </w:pPr>
      <w:r>
        <w:rPr>
          <w:rFonts w:hint="default" w:ascii="Times New Roman" w:hAnsi="Times New Roman" w:eastAsia="方正仿宋_GBK" w:cs="Times New Roman"/>
          <w:color w:val="000000" w:themeColor="text1"/>
          <w:sz w:val="32"/>
          <w:szCs w:val="32"/>
          <w14:textFill>
            <w14:solidFill>
              <w14:schemeClr w14:val="tx1"/>
            </w14:solidFill>
          </w14:textFill>
        </w:rPr>
        <w:t>35.重庆绿色消费激励政策与公众参与机制研究</w:t>
      </w:r>
      <w:r>
        <w:rPr>
          <w:rFonts w:hint="eastAsia" w:ascii="仿宋" w:hAnsi="仿宋" w:eastAsia="仿宋" w:cs="仿宋"/>
          <w:color w:val="333333"/>
          <w:sz w:val="32"/>
          <w:szCs w:val="32"/>
          <w:shd w:val="clear" w:color="auto" w:fill="FFFFFF"/>
        </w:rPr>
        <w:br w:type="page"/>
      </w:r>
    </w:p>
    <w:p w14:paraId="29EED3A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2" w:name="_Toc60086859"/>
      <w:r>
        <w:rPr>
          <w:rFonts w:hint="eastAsia" w:ascii="方正黑体_GBK" w:hAnsi="黑体" w:eastAsia="方正黑体_GBK" w:cs="宋体"/>
          <w:bCs/>
          <w:color w:val="000000" w:themeColor="text1"/>
          <w:kern w:val="0"/>
          <w:sz w:val="32"/>
          <w:szCs w:val="32"/>
          <w14:textFill>
            <w14:solidFill>
              <w14:schemeClr w14:val="tx1"/>
            </w14:solidFill>
          </w14:textFill>
        </w:rPr>
        <w:t>统计学</w:t>
      </w:r>
      <w:bookmarkEnd w:id="2"/>
    </w:p>
    <w:p w14:paraId="4A39CD0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*1.重庆企业“新质”资产的测度与发展路径研究</w:t>
      </w:r>
    </w:p>
    <w:p w14:paraId="267AB9C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*2.重庆“33618”现代制造业产业集群协同效应测度研究</w:t>
      </w:r>
    </w:p>
    <w:p w14:paraId="4D36621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*3.重庆现代制造业集群人才需求与供给匹配度的统计研究</w:t>
      </w:r>
    </w:p>
    <w:p w14:paraId="3A5DA87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4.重庆数字技术融入制造业产业链的效应测度研究</w:t>
      </w:r>
    </w:p>
    <w:p w14:paraId="3614486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5.重庆数据要素参与分配的测度及政策推进研究</w:t>
      </w:r>
    </w:p>
    <w:p w14:paraId="432A5E3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6.重庆老旧社区智慧化指标评价与改造路径研究</w:t>
      </w:r>
    </w:p>
    <w:p w14:paraId="4B6DA37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7.重庆消费韧性的测度与影响因素研究</w:t>
      </w:r>
    </w:p>
    <w:p w14:paraId="4826237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8.重庆制造业关键产业链供应链韧性评估与风险预警研究</w:t>
      </w:r>
    </w:p>
    <w:p w14:paraId="7A2B6E6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9.低碳城市政策的健康效应评估研究</w:t>
      </w:r>
    </w:p>
    <w:p w14:paraId="6F36A3D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10.人工智能大模型数据安全风险的统计测度</w:t>
      </w:r>
    </w:p>
    <w:p w14:paraId="1E38E4F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11.重庆数实融合的测度与影响因素研究</w:t>
      </w:r>
    </w:p>
    <w:p w14:paraId="07B3F068">
      <w:pPr>
        <w:spacing w:line="600" w:lineRule="exact"/>
        <w:ind w:left="502" w:hanging="502" w:hangingChars="157"/>
        <w:rPr>
          <w:rFonts w:hint="default" w:ascii="Times New Roman" w:hAnsi="Times New Roman" w:eastAsia="方正仿宋_GBK" w:cs="Times New Roman"/>
          <w:sz w:val="32"/>
          <w:szCs w:val="32"/>
        </w:rPr>
      </w:pPr>
    </w:p>
    <w:p w14:paraId="1D1A8D1E">
      <w:pPr>
        <w:widowControl w:val="0"/>
        <w:spacing w:line="600" w:lineRule="exact"/>
        <w:ind w:firstLine="0" w:firstLineChars="0"/>
        <w:rPr>
          <w:rFonts w:hint="default" w:ascii="Times New Roman" w:hAnsi="Times New Roman" w:eastAsia="方正仿宋_GBK" w:cs="Times New Roman"/>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EA4686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管理学</w:t>
      </w:r>
    </w:p>
    <w:p w14:paraId="244518B9">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*1.“十五五”时期现代化产业体系建设对能源发展的影响及对策研究</w:t>
      </w:r>
    </w:p>
    <w:p w14:paraId="09D22F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*2.未来产业企业技术创新与商业模式创新协同研究</w:t>
      </w:r>
    </w:p>
    <w:p w14:paraId="5F79CC5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*3.培育壮大耐心资本的制度与政策研究</w:t>
      </w:r>
    </w:p>
    <w:p w14:paraId="5EA1F15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*4.人工智能赋能企业供应链网络研究</w:t>
      </w:r>
    </w:p>
    <w:p w14:paraId="05B368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*5.四链融合驱动企业关键核心技术突破研究</w:t>
      </w:r>
    </w:p>
    <w:p w14:paraId="4EC17E7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*6.成渝地区双城经济圈区域协同创新体系整体效能提升研究</w:t>
      </w:r>
    </w:p>
    <w:p w14:paraId="701C975B">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*7.重庆推动民营经济创新发展研究</w:t>
      </w:r>
    </w:p>
    <w:p w14:paraId="13E763E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*8.重庆构建绿色低碳发展新体制新平台新机制研究</w:t>
      </w:r>
    </w:p>
    <w:p w14:paraId="2EEFCF9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*9.数字赋能重庆公共服务合作生产研究</w:t>
      </w:r>
    </w:p>
    <w:p w14:paraId="40FC6CD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*10.低空经济赋能重庆县域城乡物流数智化发展研究</w:t>
      </w:r>
    </w:p>
    <w:p w14:paraId="2EE82D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*11.重庆深入推进强村富民综合改革研究</w:t>
      </w:r>
    </w:p>
    <w:p w14:paraId="1C2386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*12.重庆粮食生产与安全保障研究</w:t>
      </w:r>
    </w:p>
    <w:p w14:paraId="19F3E55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*13.重庆民营企业在新能源汽车产业链中的配套发展研究</w:t>
      </w:r>
    </w:p>
    <w:p w14:paraId="3CB1D95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*14.重庆迭代实施乡</w:t>
      </w:r>
      <w:bookmarkStart w:id="3" w:name="OLE_LINK1"/>
      <w:r>
        <w:rPr>
          <w:rFonts w:hint="default" w:ascii="Times New Roman" w:hAnsi="Times New Roman" w:eastAsia="方正仿宋_GBK" w:cs="Times New Roman"/>
          <w:sz w:val="32"/>
          <w:szCs w:val="32"/>
        </w:rPr>
        <w:t>村振兴“四千行动”</w:t>
      </w:r>
      <w:bookmarkEnd w:id="3"/>
      <w:r>
        <w:rPr>
          <w:rFonts w:hint="default" w:ascii="Times New Roman" w:hAnsi="Times New Roman" w:eastAsia="方正仿宋_GBK" w:cs="Times New Roman"/>
          <w:sz w:val="32"/>
          <w:szCs w:val="32"/>
        </w:rPr>
        <w:t>研究</w:t>
      </w:r>
    </w:p>
    <w:p w14:paraId="0DEB312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15.新就业形态劳动者权益保障研究</w:t>
      </w:r>
    </w:p>
    <w:p w14:paraId="12C868A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16.人工智能赋能成渝地区双城经济圈绿色低碳转型研究</w:t>
      </w:r>
    </w:p>
    <w:p w14:paraId="2D6381D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17.重庆对外贸易高质量发展研究</w:t>
      </w:r>
    </w:p>
    <w:p w14:paraId="5D7917A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18.重庆高标准建设国家服务外包示范城市研究</w:t>
      </w:r>
    </w:p>
    <w:p w14:paraId="098C655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19.承接东部民营企业向重庆转移的政策与环境研究</w:t>
      </w:r>
    </w:p>
    <w:p w14:paraId="6A196D8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20.人工智能赋能政府监管研究</w:t>
      </w:r>
    </w:p>
    <w:p w14:paraId="6C8B14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21.重庆民营企业数字技术运用与转型升级研究</w:t>
      </w:r>
    </w:p>
    <w:p w14:paraId="2E9B91A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22.重庆推动低空经济高质量发展的路径研究</w:t>
      </w:r>
    </w:p>
    <w:p w14:paraId="212ECD6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23.重庆建设低空经济走廊的路径研究</w:t>
      </w:r>
    </w:p>
    <w:p w14:paraId="1B8A517E">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24.重庆物流业与制造业深度融合背景下产业链韧性提升路径研究</w:t>
      </w:r>
    </w:p>
    <w:p w14:paraId="2465124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25.重庆推进数字赋能超大城市现代化治理研究</w:t>
      </w:r>
    </w:p>
    <w:p w14:paraId="547B473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26.重庆智慧农业数据资产价值研究</w:t>
      </w:r>
    </w:p>
    <w:p w14:paraId="186915B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27.数字赋能重庆生态农产品价值共创研究</w:t>
      </w:r>
    </w:p>
    <w:p w14:paraId="1273523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28.重庆自贸试验区提质升级研究</w:t>
      </w:r>
    </w:p>
    <w:p w14:paraId="6D26EDE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29.重庆高校毕业生“慢就业”与就业适应性研究</w:t>
      </w:r>
    </w:p>
    <w:p w14:paraId="0981F83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30.人工智能对重庆劳动力市场结构性变迁的影响研究</w:t>
      </w:r>
    </w:p>
    <w:p w14:paraId="5A1CE18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31.人工智能赋能重庆医疗服务体系建设研究</w:t>
      </w:r>
    </w:p>
    <w:p w14:paraId="2105AA3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32.重庆发展乡村旅游研究</w:t>
      </w:r>
    </w:p>
    <w:p w14:paraId="715F476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33.重庆“教育、科技、人才”协同融合发展研究</w:t>
      </w:r>
    </w:p>
    <w:p w14:paraId="13968330">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34.重庆加快促进制造业数智化转型研究</w:t>
      </w:r>
    </w:p>
    <w:p w14:paraId="3CCA4A50">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35.重庆基础研究投入机制与前沿领域布局优化研究</w:t>
      </w:r>
    </w:p>
    <w:p w14:paraId="3791C664">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36.重庆参与建设全国一体化数据市场的定位与策略研究</w:t>
      </w:r>
    </w:p>
    <w:p w14:paraId="6E74B04F">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37.人工智能驱动科研范式变革与创新效率提升研究</w:t>
      </w:r>
    </w:p>
    <w:p w14:paraId="0D9CB991">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38.重庆促进平台经济规范健康持续发展的监管机制研究</w:t>
      </w:r>
    </w:p>
    <w:p w14:paraId="7D3D3BE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39.重庆养老事业与产业协同发展政策创新研究</w:t>
      </w:r>
    </w:p>
    <w:p w14:paraId="211A1A6C">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40.重庆干部队伍适应和推动现代化建设的能力提升研究</w:t>
      </w:r>
    </w:p>
    <w:p w14:paraId="1499A148">
      <w:pPr>
        <w:spacing w:line="600" w:lineRule="exact"/>
        <w:ind w:firstLine="0" w:firstLineChars="0"/>
        <w:rPr>
          <w:rFonts w:ascii="仿宋_GB2312" w:eastAsia="仿宋_GB2312"/>
          <w:color w:val="000000" w:themeColor="text1"/>
          <w:sz w:val="32"/>
          <w:szCs w:val="32"/>
          <w14:textFill>
            <w14:solidFill>
              <w14:schemeClr w14:val="tx1"/>
            </w14:solidFill>
          </w14:textFill>
        </w:rPr>
      </w:pPr>
    </w:p>
    <w:p w14:paraId="26C95B60">
      <w:pPr>
        <w:spacing w:line="600" w:lineRule="exact"/>
        <w:ind w:firstLine="0" w:firstLineChars="0"/>
        <w:rPr>
          <w:rFonts w:ascii="仿宋_GB2312" w:eastAsia="仿宋_GB2312"/>
          <w:color w:val="000000" w:themeColor="text1"/>
          <w:sz w:val="32"/>
          <w:szCs w:val="32"/>
          <w14:textFill>
            <w14:solidFill>
              <w14:schemeClr w14:val="tx1"/>
            </w14:solidFill>
          </w14:textFill>
        </w:rPr>
      </w:pPr>
    </w:p>
    <w:p w14:paraId="06205E6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4" w:name="_Toc60086861"/>
      <w:r>
        <w:rPr>
          <w:rFonts w:hint="eastAsia" w:ascii="方正黑体_GBK" w:hAnsi="黑体" w:eastAsia="方正黑体_GBK" w:cs="宋体"/>
          <w:bCs/>
          <w:color w:val="000000" w:themeColor="text1"/>
          <w:kern w:val="0"/>
          <w:sz w:val="32"/>
          <w:szCs w:val="32"/>
          <w14:textFill>
            <w14:solidFill>
              <w14:schemeClr w14:val="tx1"/>
            </w14:solidFill>
          </w14:textFill>
        </w:rPr>
        <w:t>法学</w:t>
      </w:r>
      <w:bookmarkEnd w:id="4"/>
    </w:p>
    <w:p w14:paraId="22D2609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*1.法律草案合宪性审查问题研究</w:t>
      </w:r>
    </w:p>
    <w:p w14:paraId="7BCFA1F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*2.网络暴力中的极端现象及刑法规制研究</w:t>
      </w:r>
    </w:p>
    <w:p w14:paraId="67868F1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*3.数字时代知识产权法基本范畴体系创新研究</w:t>
      </w:r>
    </w:p>
    <w:p w14:paraId="302D903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*4.数智赋能司法裁判的空间及保障研究</w:t>
      </w:r>
    </w:p>
    <w:p w14:paraId="5F02AD2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*5.人工智能侵权风险与法律应对研究</w:t>
      </w:r>
    </w:p>
    <w:p w14:paraId="04B89D5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*6.数字时代经济制裁的合法性边界研究</w:t>
      </w:r>
    </w:p>
    <w:p w14:paraId="3978B79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*7.老龄社会背景下数字治理与法治研究</w:t>
      </w:r>
    </w:p>
    <w:p w14:paraId="67291E4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*8.跨境数据流通的法治体系研究</w:t>
      </w:r>
    </w:p>
    <w:p w14:paraId="2F7ABF7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*9.成渝地区双城经济圈地理标志法律保护协同机制研究</w:t>
      </w:r>
    </w:p>
    <w:p w14:paraId="13100AE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*10.重庆超大城市治理法治化路径研究</w:t>
      </w:r>
    </w:p>
    <w:p w14:paraId="697E1A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*11.仲裁服务护航重庆企业“出海”研究</w:t>
      </w:r>
    </w:p>
    <w:p w14:paraId="25D0518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12.新就业形态劳动法研究</w:t>
      </w:r>
    </w:p>
    <w:p w14:paraId="43D3927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13.司法鉴定决策中人工智能技术应用研究</w:t>
      </w:r>
    </w:p>
    <w:p w14:paraId="26A789F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14.全国统一算力大市场的竞争法研究</w:t>
      </w:r>
    </w:p>
    <w:p w14:paraId="0464D0A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15.面向生态文明建设的生态修复法律规制研究</w:t>
      </w:r>
    </w:p>
    <w:p w14:paraId="2AA55D2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16.数字生态系统反垄断法研究</w:t>
      </w:r>
    </w:p>
    <w:p w14:paraId="24F45E4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17.低空经济高质量发展的法治保障研究</w:t>
      </w:r>
    </w:p>
    <w:p w14:paraId="4DD1252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18.人工智能合成内容法律责任与规制机制研究</w:t>
      </w:r>
    </w:p>
    <w:p w14:paraId="6B8B29D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19.算法不正当竞争行为的责任认定与法律规制研究</w:t>
      </w:r>
    </w:p>
    <w:p w14:paraId="54D069A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20.低空飞行安全数字监管与法治保障研究</w:t>
      </w:r>
    </w:p>
    <w:p w14:paraId="5A71279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21.数字技术推动刑事诉讼程序改革的法治研究</w:t>
      </w:r>
    </w:p>
    <w:p w14:paraId="4207DCF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22.重庆新能源汽车标准必要专利池构建研究</w:t>
      </w:r>
    </w:p>
    <w:p w14:paraId="42B4A9C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23.重庆深化乡镇（街道）综合行政执法改革研究</w:t>
      </w:r>
    </w:p>
    <w:p w14:paraId="27E2EE8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24.重庆数字经济示范区数据主权与跨境流动安全风险防范研究</w:t>
      </w:r>
    </w:p>
    <w:p w14:paraId="32C98A78">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25.重庆促进平台经济规范健康持续发展的监管机制研究</w:t>
      </w:r>
    </w:p>
    <w:p w14:paraId="747E2FDB">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26.重庆超大城市现代化治理法治保障研究</w:t>
      </w:r>
    </w:p>
    <w:p w14:paraId="6ABD5957">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27.成渝地区双城经济圈法治一体化研究</w:t>
      </w:r>
    </w:p>
    <w:p w14:paraId="6620657A">
      <w:pPr>
        <w:spacing w:line="600" w:lineRule="exact"/>
        <w:ind w:left="502" w:hanging="502" w:hangingChars="157"/>
        <w:rPr>
          <w:rFonts w:ascii="仿宋_GB2312" w:eastAsia="仿宋_GB2312"/>
          <w:sz w:val="32"/>
          <w:szCs w:val="32"/>
        </w:rPr>
      </w:pPr>
      <w:r>
        <w:rPr>
          <w:rFonts w:hint="default" w:ascii="Times New Roman" w:hAnsi="Times New Roman" w:eastAsia="方正仿宋_GBK" w:cs="Times New Roman"/>
          <w:color w:val="000000" w:themeColor="text1"/>
          <w:sz w:val="32"/>
          <w:szCs w:val="32"/>
          <w14:textFill>
            <w14:solidFill>
              <w14:schemeClr w14:val="tx1"/>
            </w14:solidFill>
          </w14:textFill>
        </w:rPr>
        <w:t>28.西部陆海新通道涉外法律风险防范研究</w:t>
      </w:r>
      <w:r>
        <w:rPr>
          <w:rFonts w:ascii="仿宋_GB2312" w:eastAsia="仿宋_GB2312"/>
          <w:sz w:val="32"/>
          <w:szCs w:val="32"/>
        </w:rPr>
        <w:br w:type="page"/>
      </w:r>
    </w:p>
    <w:p w14:paraId="03E1E87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5" w:name="_Toc60086862"/>
      <w:r>
        <w:rPr>
          <w:rFonts w:hint="eastAsia" w:ascii="方正黑体_GBK" w:hAnsi="黑体" w:eastAsia="方正黑体_GBK" w:cs="宋体"/>
          <w:bCs/>
          <w:color w:val="000000" w:themeColor="text1"/>
          <w:kern w:val="0"/>
          <w:sz w:val="32"/>
          <w:szCs w:val="32"/>
          <w14:textFill>
            <w14:solidFill>
              <w14:schemeClr w14:val="tx1"/>
            </w14:solidFill>
          </w14:textFill>
        </w:rPr>
        <w:t>社会学</w:t>
      </w:r>
      <w:bookmarkEnd w:id="5"/>
    </w:p>
    <w:p w14:paraId="0C9EF8D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*1.重大政策、重大项目、重大生产力布局就业影响评估指标体系及机制研究</w:t>
      </w:r>
    </w:p>
    <w:p w14:paraId="49BD160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*2.新发展社会学视角下乡村全面振兴研究</w:t>
      </w:r>
    </w:p>
    <w:p w14:paraId="76025C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*3.脱贫地区低收入人口帮扶研究</w:t>
      </w:r>
    </w:p>
    <w:p w14:paraId="53B61EF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*4.超大城市更新背景下社区服务研究</w:t>
      </w:r>
    </w:p>
    <w:p w14:paraId="0CCEC77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*5.多层次保障住房对居民消费的影响研究</w:t>
      </w:r>
    </w:p>
    <w:p w14:paraId="73C702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*6.基于数字干预的社区健康管理研究</w:t>
      </w:r>
    </w:p>
    <w:p w14:paraId="34CA66D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*7.极端社会事件的社区预警机制研究</w:t>
      </w:r>
    </w:p>
    <w:p w14:paraId="53D7681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*8.数智化背景下青年群体的社会心理、行为特点及形成机制研究</w:t>
      </w:r>
    </w:p>
    <w:p w14:paraId="09C055F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*9.重庆青少年健康管理的社会支持体系研究</w:t>
      </w:r>
    </w:p>
    <w:p w14:paraId="32AE3C3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*10.数字抚育对农村留守儿童发展的影响研究</w:t>
      </w:r>
    </w:p>
    <w:p w14:paraId="614819B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*11.重庆新就业群体的社会工作服务体系研究</w:t>
      </w:r>
    </w:p>
    <w:p w14:paraId="26103DC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12.重庆乡村治理数字化转型研究</w:t>
      </w:r>
    </w:p>
    <w:p w14:paraId="581DE3A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13.重庆非连续参保灵活就业人员社会保障研究</w:t>
      </w:r>
    </w:p>
    <w:p w14:paraId="0DB2CBD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14.重庆普惠托育服务的社区嵌入研究</w:t>
      </w:r>
    </w:p>
    <w:p w14:paraId="1F42D8F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15.高额彩礼对农村青年婚育的影响研究</w:t>
      </w:r>
    </w:p>
    <w:p w14:paraId="628A37B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16.重庆保障性住房社区共同体培育路径研究</w:t>
      </w:r>
    </w:p>
    <w:p w14:paraId="6B89872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17.重庆现代农业绿色发展的社会动力机制研究</w:t>
      </w:r>
    </w:p>
    <w:p w14:paraId="1613E60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18.重庆健全多层次社会保障体系研究</w:t>
      </w:r>
    </w:p>
    <w:p w14:paraId="146C46D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19.重庆新就业群体城市化问题研究 </w:t>
      </w:r>
    </w:p>
    <w:p w14:paraId="18E5F3E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20.重庆农村社区养老服务网络构建与协同治理研究</w:t>
      </w:r>
    </w:p>
    <w:p w14:paraId="48CACA4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21.重庆促进各民族交往交流交融的实践研究</w:t>
      </w:r>
    </w:p>
    <w:p w14:paraId="26BF963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22.重庆建设统筹适配的农村养老服务体系研究</w:t>
      </w:r>
    </w:p>
    <w:p w14:paraId="2512F61A">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23.重庆构建就业友好型发展方式的路径研究</w:t>
      </w:r>
    </w:p>
    <w:p w14:paraId="637811BE">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24.重庆</w:t>
      </w:r>
      <w:bookmarkStart w:id="6" w:name="OLE_LINK2"/>
      <w:r>
        <w:rPr>
          <w:rFonts w:hint="default" w:ascii="Times New Roman" w:hAnsi="Times New Roman" w:eastAsia="方正仿宋_GBK" w:cs="Times New Roman"/>
          <w:color w:val="000000" w:themeColor="text1"/>
          <w:sz w:val="32"/>
          <w:szCs w:val="32"/>
          <w14:textFill>
            <w14:solidFill>
              <w14:schemeClr w14:val="tx1"/>
            </w14:solidFill>
          </w14:textFill>
        </w:rPr>
        <w:t>健全学校家庭社会协同育人机制研究</w:t>
      </w:r>
      <w:bookmarkEnd w:id="6"/>
    </w:p>
    <w:p w14:paraId="1EF3405C">
      <w:pPr>
        <w:spacing w:line="600" w:lineRule="exact"/>
        <w:ind w:left="502" w:hanging="502" w:hangingChars="157"/>
        <w:rPr>
          <w:rFonts w:ascii="仿宋_GB2312" w:hAnsi="Times New Roman" w:eastAsia="仿宋_GB2312" w:cs="Times New Roman"/>
          <w:sz w:val="32"/>
          <w:szCs w:val="32"/>
        </w:rPr>
      </w:pPr>
    </w:p>
    <w:p w14:paraId="74F8C49D">
      <w:pPr>
        <w:spacing w:line="600" w:lineRule="exact"/>
        <w:ind w:firstLine="199" w:firstLineChars="95"/>
        <w:rPr>
          <w:color w:val="000000" w:themeColor="text1"/>
          <w14:textFill>
            <w14:solidFill>
              <w14:schemeClr w14:val="tx1"/>
            </w14:solidFill>
          </w14:textFill>
        </w:rPr>
        <w:sectPr>
          <w:headerReference r:id="rId21" w:type="first"/>
          <w:footerReference r:id="rId24" w:type="first"/>
          <w:headerReference r:id="rId19" w:type="default"/>
          <w:footerReference r:id="rId22" w:type="default"/>
          <w:headerReference r:id="rId20" w:type="even"/>
          <w:footerReference r:id="rId23" w:type="even"/>
          <w:pgSz w:w="11906" w:h="16838"/>
          <w:pgMar w:top="1985" w:right="1446" w:bottom="1644" w:left="1446" w:header="851" w:footer="992" w:gutter="0"/>
          <w:cols w:space="425" w:num="1"/>
          <w:docGrid w:type="lines" w:linePitch="312" w:charSpace="0"/>
        </w:sectPr>
      </w:pPr>
    </w:p>
    <w:p w14:paraId="069BA7E9">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人口学</w:t>
      </w:r>
    </w:p>
    <w:p w14:paraId="1C85464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*1.重庆“十五五”时期的人口问题研究</w:t>
      </w:r>
    </w:p>
    <w:p w14:paraId="3FE5C0D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*2.重庆市人口老龄化发展趋势与对策研究</w:t>
      </w:r>
    </w:p>
    <w:p w14:paraId="6C24215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*3.重庆推动农民工市民化质量提升研究</w:t>
      </w:r>
    </w:p>
    <w:p w14:paraId="4120F98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4.重庆建立低收入人口常态化帮扶机制研究</w:t>
      </w:r>
    </w:p>
    <w:p w14:paraId="2910822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5.重庆老年人口变动与医养服务资源协同适配研究</w:t>
      </w:r>
    </w:p>
    <w:p w14:paraId="795D3BF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6.人口变化新形势下的财政收支结构优化研究</w:t>
      </w:r>
    </w:p>
    <w:p w14:paraId="08D3AA3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7.银发经济与老年人力资源开发研究</w:t>
      </w:r>
    </w:p>
    <w:p w14:paraId="3B34B35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8.人口负增长及其经济社会影响研究</w:t>
      </w:r>
    </w:p>
    <w:p w14:paraId="6FD15B3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9.城市化发展中后期人口流迁研究</w:t>
      </w:r>
    </w:p>
    <w:p w14:paraId="4DA5067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10.生育支持政策组合实施效果评价及优化策略研究</w:t>
      </w:r>
    </w:p>
    <w:p w14:paraId="729AAB3B">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11.成渝地区双城经济圈人口结构与产业协同发展研究</w:t>
      </w:r>
    </w:p>
    <w:p w14:paraId="4EF54FE7">
      <w:pPr>
        <w:widowControl w:val="0"/>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340740D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民族学</w:t>
      </w:r>
    </w:p>
    <w:p w14:paraId="1550200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*1.数智赋能重庆民族地区高质量发展研究</w:t>
      </w:r>
    </w:p>
    <w:p w14:paraId="3DE85EF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*2.重庆民族地区和美乡村建设评价与路径优化研究</w:t>
      </w:r>
    </w:p>
    <w:p w14:paraId="168F0D3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*3.提升重庆民族地区产业韧性的机制与路径研究</w:t>
      </w:r>
    </w:p>
    <w:p w14:paraId="08FA72F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4.重庆民族地区特色产业富民效应及提升策略研究</w:t>
      </w:r>
    </w:p>
    <w:p w14:paraId="0B181C0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5.重庆民族地区小农经济现代化改造研究</w:t>
      </w:r>
    </w:p>
    <w:p w14:paraId="36F742C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6.重庆民族地区构建乡村治理共同体的路径研究</w:t>
      </w:r>
    </w:p>
    <w:p w14:paraId="46C8D1A3">
      <w:pPr>
        <w:spacing w:line="600" w:lineRule="exact"/>
        <w:ind w:firstLine="0" w:firstLineChars="0"/>
        <w:rPr>
          <w:rFonts w:hint="default"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r>
        <w:rPr>
          <w:rFonts w:hint="default" w:ascii="Times New Roman" w:hAnsi="Times New Roman" w:eastAsia="方正仿宋_GBK" w:cs="Times New Roman"/>
          <w:sz w:val="32"/>
          <w:szCs w:val="32"/>
        </w:rPr>
        <w:t>7.重庆民族地区“一老一小”服务保障研究</w:t>
      </w:r>
    </w:p>
    <w:p w14:paraId="211F26C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新闻与传播学</w:t>
      </w:r>
    </w:p>
    <w:p w14:paraId="432005A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*1.国际涉华虚假信息传播及应对策略研究</w:t>
      </w:r>
    </w:p>
    <w:p w14:paraId="3E858B3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*2.地方国际传播机构专业化、多元化能力研究</w:t>
      </w:r>
    </w:p>
    <w:p w14:paraId="243ABB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*3.智能媒体使用对青少年社会情感能力的影响研究</w:t>
      </w:r>
    </w:p>
    <w:p w14:paraId="7C4A87D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*4.基于多源数据信息的突发舆情风险预警及其治理研究</w:t>
      </w:r>
    </w:p>
    <w:p w14:paraId="52492B8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*5.社交媒体虚假信息检测及治理研究</w:t>
      </w:r>
    </w:p>
    <w:p w14:paraId="5C17A25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*6.主流媒体在地化传播力影响力提升研究</w:t>
      </w:r>
    </w:p>
    <w:p w14:paraId="11BC150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*7.沉浸式传播理论建构与路径研究</w:t>
      </w:r>
    </w:p>
    <w:p w14:paraId="777FD8E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*8.人工智能赋能重庆学术期刊高质量发展研究</w:t>
      </w:r>
    </w:p>
    <w:p w14:paraId="7EB0FF9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*9.重庆区县融媒体中心传播力提升研究</w:t>
      </w:r>
    </w:p>
    <w:p w14:paraId="67493C0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*10.提升重庆城市形象的策略研究</w:t>
      </w:r>
    </w:p>
    <w:p w14:paraId="7F900CF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11.创意产业和创意生态建设研究</w:t>
      </w:r>
    </w:p>
    <w:p w14:paraId="544D48D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12.微短剧全球传播机制与路径研究</w:t>
      </w:r>
    </w:p>
    <w:p w14:paraId="33EFA76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13.人工智能背景下新闻传播人才培养研究</w:t>
      </w:r>
    </w:p>
    <w:p w14:paraId="0BF5478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14.数据要素嵌入与出版产业创新研究</w:t>
      </w:r>
    </w:p>
    <w:p w14:paraId="5BC6A3B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15.老年人数字成瘾的成因与治理研究</w:t>
      </w:r>
    </w:p>
    <w:p w14:paraId="6E84A0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16.网络语言传播对学龄儿童发展的影响研究</w:t>
      </w:r>
    </w:p>
    <w:p w14:paraId="71166D8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17.大模型时代重庆青年群体人机情感交互与伦理治理研究</w:t>
      </w:r>
    </w:p>
    <w:p w14:paraId="04741D2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18.智能化背景下重庆乡村社会媒介化治理研究</w:t>
      </w:r>
    </w:p>
    <w:p w14:paraId="758E02B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19.重庆国际传播融媒栏目实践案例研究</w:t>
      </w:r>
    </w:p>
    <w:p w14:paraId="640AA8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20.重庆文化内涵和文化IP国际传播研究</w:t>
      </w:r>
    </w:p>
    <w:p w14:paraId="515F97A9">
      <w:pPr>
        <w:spacing w:line="600" w:lineRule="exact"/>
        <w:ind w:left="502" w:hanging="502" w:hangingChars="157"/>
        <w:rPr>
          <w:rFonts w:ascii="Times New Roman" w:hAnsi="Times New Roman" w:eastAsia="方正仿宋_GBK" w:cs="Times New Roman"/>
          <w:sz w:val="32"/>
          <w:szCs w:val="32"/>
        </w:rPr>
      </w:pPr>
    </w:p>
    <w:p w14:paraId="07EC5350">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044E54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图书情报文献学</w:t>
      </w:r>
    </w:p>
    <w:p w14:paraId="3E1BA32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*1.总体国家安全观视域下档案开放制度研究</w:t>
      </w:r>
    </w:p>
    <w:p w14:paraId="454E5C3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*2.世界一流公共图书馆建设的理论与实践研究</w:t>
      </w:r>
    </w:p>
    <w:p w14:paraId="6A34966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*3.数字化转型背景下图书馆治理能力现代化研究</w:t>
      </w:r>
    </w:p>
    <w:p w14:paraId="7E7AC0E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*4.面向治理现代化的档案工作研究</w:t>
      </w:r>
    </w:p>
    <w:p w14:paraId="4646ABA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*5.高校图书馆科研服务韧性测度研究</w:t>
      </w:r>
    </w:p>
    <w:p w14:paraId="2033911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*6.档案数据确权问题研究</w:t>
      </w:r>
    </w:p>
    <w:p w14:paraId="7550EE8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*7.档案数据价值链运行与优化研究</w:t>
      </w:r>
    </w:p>
    <w:p w14:paraId="3CDB711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*8.数字化转型的可信数据空间构建研究</w:t>
      </w:r>
    </w:p>
    <w:p w14:paraId="498EFE5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9.档案数据要素治理研究</w:t>
      </w:r>
    </w:p>
    <w:p w14:paraId="0DC007C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10.信息成瘾行为的监测与管理机制研究</w:t>
      </w:r>
    </w:p>
    <w:p w14:paraId="1AF8262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11.智能体赋能下的科技情报服务研究</w:t>
      </w:r>
    </w:p>
    <w:p w14:paraId="3CDC887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12.人工智能生成内容的真实性风险与档案治理研究</w:t>
      </w:r>
    </w:p>
    <w:p w14:paraId="736C6FC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13.档案数据价值链的生成机制与运行规律研究</w:t>
      </w:r>
    </w:p>
    <w:p w14:paraId="2209461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14.智慧图书馆人工智能生成内容可信研究</w:t>
      </w:r>
    </w:p>
    <w:p w14:paraId="58D2B2B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15.重庆档案产业高质量发展研究</w:t>
      </w:r>
    </w:p>
    <w:p w14:paraId="261E6EC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16.数据流通利用背景下的档案数据质量研究</w:t>
      </w:r>
    </w:p>
    <w:p w14:paraId="788C4B1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17.重庆档案数据质量评价及提升策略研究</w:t>
      </w:r>
    </w:p>
    <w:p w14:paraId="39289A4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p>
    <w:p w14:paraId="65B44E9E">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5138EAA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教育学/心理学</w:t>
      </w:r>
    </w:p>
    <w:p w14:paraId="0F8EC7B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bookmarkStart w:id="7" w:name="OLE_LINK4"/>
      <w:r>
        <w:rPr>
          <w:rFonts w:hint="default" w:ascii="Times New Roman" w:hAnsi="Times New Roman" w:eastAsia="方正仿宋_GBK" w:cs="Times New Roman"/>
          <w:sz w:val="32"/>
          <w:szCs w:val="32"/>
        </w:rPr>
        <w:t>马克思主义教育思想</w:t>
      </w:r>
      <w:bookmarkEnd w:id="7"/>
      <w:r>
        <w:rPr>
          <w:rFonts w:hint="default" w:ascii="Times New Roman" w:hAnsi="Times New Roman" w:eastAsia="方正仿宋_GBK" w:cs="Times New Roman"/>
          <w:sz w:val="32"/>
          <w:szCs w:val="32"/>
        </w:rPr>
        <w:t>经典文献研究</w:t>
      </w:r>
      <w:r>
        <w:rPr>
          <w:rFonts w:hint="default" w:ascii="Times New Roman" w:hAnsi="Times New Roman" w:eastAsia="方正仿宋_GBK" w:cs="Times New Roman"/>
          <w:sz w:val="24"/>
          <w:szCs w:val="24"/>
        </w:rPr>
        <w:t xml:space="preserve"> </w:t>
      </w:r>
    </w:p>
    <w:p w14:paraId="738F553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*2.县域农村教育质量提升研究</w:t>
      </w:r>
    </w:p>
    <w:p w14:paraId="5CC44A1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*3.县域普惠育幼服务体系构建与保障机制研究</w:t>
      </w:r>
    </w:p>
    <w:p w14:paraId="715B0F9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*4.与人口变化相适应的基础教育资源统筹调配机制研究</w:t>
      </w:r>
      <w:r>
        <w:rPr>
          <w:rFonts w:hint="default" w:ascii="Times New Roman" w:hAnsi="Times New Roman" w:eastAsia="方正仿宋_GBK" w:cs="Times New Roman"/>
          <w:sz w:val="24"/>
          <w:szCs w:val="24"/>
        </w:rPr>
        <w:t xml:space="preserve"> </w:t>
      </w:r>
    </w:p>
    <w:p w14:paraId="4D733A9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*5.职业教育“新双高”改革研究</w:t>
      </w:r>
    </w:p>
    <w:p w14:paraId="589BF8E4">
      <w:pPr>
        <w:spacing w:line="600" w:lineRule="exact"/>
        <w:ind w:firstLine="0" w:firstLineChars="0"/>
        <w:rPr>
          <w:rFonts w:hint="default" w:ascii="Times New Roman" w:hAnsi="Times New Roman" w:eastAsia="方正仿宋_GBK" w:cs="Times New Roman"/>
          <w:sz w:val="32"/>
          <w:szCs w:val="32"/>
        </w:rPr>
      </w:pPr>
      <w:bookmarkStart w:id="8" w:name="OLE_LINK6"/>
      <w:r>
        <w:rPr>
          <w:rFonts w:hint="default" w:ascii="Times New Roman" w:hAnsi="Times New Roman" w:eastAsia="方正仿宋_GBK" w:cs="Times New Roman"/>
          <w:sz w:val="32"/>
          <w:szCs w:val="32"/>
        </w:rPr>
        <w:t>*6.基于人工智能技术的教学模式创新研究</w:t>
      </w:r>
      <w:bookmarkEnd w:id="8"/>
    </w:p>
    <w:p w14:paraId="72A81F9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*7.成渝地区双城经济圈教育高质量发展路径研究</w:t>
      </w:r>
    </w:p>
    <w:p w14:paraId="36D0B8C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*8.重庆统筹推动教育强市、西部创新高地和人才中心建设研究</w:t>
      </w:r>
    </w:p>
    <w:p w14:paraId="004C6FF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*9.重庆建设西部基础教育排头兵的策略与路径研究</w:t>
      </w:r>
    </w:p>
    <w:p w14:paraId="0F6F7AB9">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*10.重庆市“高校、科研院所和企业人才共育共享共用机制”改革研究</w:t>
      </w:r>
    </w:p>
    <w:p w14:paraId="42C3BC9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*11.重庆高校学风建设研究 </w:t>
      </w:r>
    </w:p>
    <w:p w14:paraId="6A26A33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*12.幼儿保育过程性质量提升路径与策略研究</w:t>
      </w:r>
    </w:p>
    <w:p w14:paraId="6751118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*13.重庆市高中阶段学校设置布局与体制机制研究</w:t>
      </w:r>
    </w:p>
    <w:p w14:paraId="2C1B6FD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*14.教育强市背景下重庆市中等职业学校发展现状分析与优化布局研究</w:t>
      </w:r>
    </w:p>
    <w:p w14:paraId="339E83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*15.重庆市高等教育评价改革的现实困境及对策研究</w:t>
      </w:r>
    </w:p>
    <w:p w14:paraId="632B14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*16.完善重庆市乡村教育帮扶体系研究</w:t>
      </w:r>
    </w:p>
    <w:p w14:paraId="06C5A62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17.重庆高校运用新时代伟大变革成功案例落实立德树人有效途径研究 </w:t>
      </w:r>
    </w:p>
    <w:p w14:paraId="6784674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18.教育强市战略下重庆有组织教育科研机制创新与实施研究 </w:t>
      </w:r>
    </w:p>
    <w:p w14:paraId="5D7A2C3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19.重庆幼儿园教师课程融合育人实践策略研究</w:t>
      </w:r>
    </w:p>
    <w:p w14:paraId="32FE05C7">
      <w:pPr>
        <w:spacing w:line="600" w:lineRule="exact"/>
        <w:ind w:firstLine="0" w:firstLineChars="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 xml:space="preserve">20.人口低生育率背景下重庆基础教育高质量发展策略研究 </w:t>
      </w:r>
    </w:p>
    <w:p w14:paraId="5630830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21.重庆市义务教育地方教材建设与管理研究</w:t>
      </w:r>
    </w:p>
    <w:p w14:paraId="1E2068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22.重庆中小学人工智能教育研究 </w:t>
      </w:r>
    </w:p>
    <w:p w14:paraId="5C6193E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23.重庆中小学教师师德考核评价机制研究</w:t>
      </w:r>
    </w:p>
    <w:p w14:paraId="2674FD4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24.以核心素养为导向的重庆中小学学生学习能力评价体系研究</w:t>
      </w:r>
    </w:p>
    <w:p w14:paraId="71259B9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25.重庆市中小学人工智能课程体系构建及数智化实现路径研究</w:t>
      </w:r>
    </w:p>
    <w:p w14:paraId="4ACF6B1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26.人工智能赋能重庆职业教育高质量发展的策略与路径研究 </w:t>
      </w:r>
    </w:p>
    <w:p w14:paraId="124C2C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27.教育强市背景下重庆职业教育贯通培养专业共同体建设路径与策略研究</w:t>
      </w:r>
    </w:p>
    <w:p w14:paraId="0F612BF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28.重庆市高等职业教育资源下沉区县运行机制研究  </w:t>
      </w:r>
    </w:p>
    <w:p w14:paraId="1DE17AB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29.基于“低空经济创新发展之城”建设目标的重庆高技能人才培养体系研究 </w:t>
      </w:r>
    </w:p>
    <w:p w14:paraId="6E2E080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30.人工智能赋能重庆职业教育高质量发展的有效路径研究</w:t>
      </w:r>
    </w:p>
    <w:p w14:paraId="76F732A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31.新质生产力视域下重庆职业本科人才培养模式创新研究</w:t>
      </w:r>
    </w:p>
    <w:p w14:paraId="045E6A5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32.重庆市职业学校社会服务能力评价和提升路径研究</w:t>
      </w:r>
    </w:p>
    <w:p w14:paraId="3521437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33.“十五五”期间重庆市高等院校设置区域布局与规模发展研究</w:t>
      </w:r>
    </w:p>
    <w:p w14:paraId="58264C9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34.重庆高校大学生高质量充分就业政策体系构建与优化研究</w:t>
      </w:r>
    </w:p>
    <w:p w14:paraId="5054988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35.重庆农村留守儿童心理健康问题的早期识别与干预研究</w:t>
      </w:r>
    </w:p>
    <w:p w14:paraId="586BD61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36.重庆儿童挑食行为的认知机制研究</w:t>
      </w:r>
    </w:p>
    <w:p w14:paraId="3C0238C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37.健全重庆市青少年心理疏导机制改革探索研究</w:t>
      </w:r>
    </w:p>
    <w:p w14:paraId="3C48279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38.社会阶层成长型心智对重庆大学生学业的影响研究</w:t>
      </w:r>
    </w:p>
    <w:p w14:paraId="35510C7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39.基于心理学视角的重庆脑机接口神经调控研究</w:t>
      </w:r>
    </w:p>
    <w:p w14:paraId="1718915A">
      <w:pPr>
        <w:widowControl w:val="0"/>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248CDB8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体育学</w:t>
      </w:r>
    </w:p>
    <w:p w14:paraId="4ACE758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*1.中国体育学自主知识体系多重建构研究</w:t>
      </w:r>
    </w:p>
    <w:p w14:paraId="6D7E96D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*2.学校体育促进铸牢中华民族共同体意识研究</w:t>
      </w:r>
    </w:p>
    <w:p w14:paraId="2C6D090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*3.中国特色体育国际传播研究</w:t>
      </w:r>
    </w:p>
    <w:p w14:paraId="6DFF11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*4.体育产业高质量发展水平测度与优化路径研究</w:t>
      </w:r>
    </w:p>
    <w:p w14:paraId="6D55068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*5.数实融合推进我国体育用品制造产业高质量发展研究</w:t>
      </w:r>
    </w:p>
    <w:p w14:paraId="71E8B21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*6.数据要素赋能体育产业高质量发展研究</w:t>
      </w:r>
    </w:p>
    <w:p w14:paraId="070469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*7.特色竞技体育科学训练体系构建研究</w:t>
      </w:r>
    </w:p>
    <w:p w14:paraId="4F60A00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*8.重庆全民健身公共服务体系构建研究</w:t>
      </w:r>
    </w:p>
    <w:p w14:paraId="48E750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9.成渝地区双城经济圈体育产业协同发展研究</w:t>
      </w:r>
    </w:p>
    <w:p w14:paraId="6D0F08E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10.重庆残疾人公共体育服务数字化转型研究</w:t>
      </w:r>
    </w:p>
    <w:p w14:paraId="74D4D8F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11.重庆大型体育赛事绿色转型机制构建研究</w:t>
      </w:r>
    </w:p>
    <w:p w14:paraId="24942F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12.重庆县域全民健身公共服务体系的推进机制及路径研究</w:t>
      </w:r>
    </w:p>
    <w:p w14:paraId="63FAD4F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13.数智赋能重庆大型体育赛事研究</w:t>
      </w:r>
    </w:p>
    <w:p w14:paraId="28C8ED7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14.重庆老年人运动作息行为优化研究</w:t>
      </w:r>
    </w:p>
    <w:p w14:paraId="3F4B7B2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15.重庆青少年手机成瘾的运动干预模式研究</w:t>
      </w:r>
    </w:p>
    <w:p w14:paraId="4DC0371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16.重庆体育旅游产业数字化转型研究</w:t>
      </w:r>
    </w:p>
    <w:p w14:paraId="620F83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17.重庆高水平运动员系统化体能测试方案研究</w:t>
      </w:r>
    </w:p>
    <w:p w14:paraId="083BF89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18.重庆体育非物质文化遗产的地方记忆与社会整合研究</w:t>
      </w:r>
    </w:p>
    <w:p w14:paraId="7FBB8F4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19.重庆数字体育赛事发展的风险治理研究</w:t>
      </w:r>
    </w:p>
    <w:p w14:paraId="58F1D0F5">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20.重庆全民健身与竞技体育协调发展机制研究</w:t>
      </w:r>
    </w:p>
    <w:p w14:paraId="59750810">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p>
    <w:sectPr>
      <w:pgSz w:w="11906" w:h="16838"/>
      <w:pgMar w:top="1984" w:right="1446" w:bottom="1644" w:left="144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C389">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97026">
                          <w:pPr>
                            <w:pStyle w:val="3"/>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197026">
                    <w:pPr>
                      <w:pStyle w:val="3"/>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A0C6">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984C">
    <w:pPr>
      <w:pStyle w:val="3"/>
      <w:framePr w:wrap="around" w:vAnchor="text" w:hAnchor="margin" w:xAlign="center" w:y="1"/>
      <w:ind w:firstLine="360"/>
      <w:rPr>
        <w:rStyle w:val="8"/>
      </w:rPr>
    </w:pPr>
    <w:r>
      <w:fldChar w:fldCharType="begin"/>
    </w:r>
    <w:r>
      <w:rPr>
        <w:rStyle w:val="8"/>
      </w:rPr>
      <w:instrText xml:space="preserve">PAGE  </w:instrText>
    </w:r>
    <w:r>
      <w:fldChar w:fldCharType="separate"/>
    </w:r>
    <w:r>
      <w:rPr>
        <w:rStyle w:val="8"/>
      </w:rPr>
      <w:t xml:space="preserve"> </w:t>
    </w:r>
    <w:r>
      <w:fldChar w:fldCharType="end"/>
    </w:r>
  </w:p>
  <w:p w14:paraId="4CB289C1">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DA419">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F4D1B">
    <w:pPr>
      <w:pStyle w:val="3"/>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6695F">
                          <w:pPr>
                            <w:pStyle w:val="3"/>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56695F">
                    <w:pPr>
                      <w:pStyle w:val="3"/>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BF50">
    <w:pPr>
      <w:pStyle w:val="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52B8">
    <w:pPr>
      <w:pStyle w:val="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F3E35">
    <w:pPr>
      <w:pStyle w:val="3"/>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5E85D">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34E8C">
                          <w:pPr>
                            <w:pStyle w:val="3"/>
                            <w:ind w:firstLine="48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20</w:t>
                          </w:r>
                          <w:r>
                            <w:rPr>
                              <w:rFonts w:hint="eastAsia" w:ascii="方正仿宋_GBK" w:hAnsi="方正仿宋_GBK" w:eastAsia="方正仿宋_GBK" w:cs="方正仿宋_GBK"/>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AA34E8C">
                    <w:pPr>
                      <w:pStyle w:val="3"/>
                      <w:ind w:firstLine="48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20</w:t>
                    </w:r>
                    <w:r>
                      <w:rPr>
                        <w:rFonts w:hint="eastAsia" w:ascii="方正仿宋_GBK" w:hAnsi="方正仿宋_GBK" w:eastAsia="方正仿宋_GBK" w:cs="方正仿宋_GBK"/>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A1C2D">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D7AEE">
    <w:pPr>
      <w:ind w:firstLine="0" w:firstLineChars="0"/>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47A8">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E40E4">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B73A8">
    <w:pPr>
      <w:pStyle w:val="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DBBA">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F1488">
    <w:pPr>
      <w:pStyle w:val="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3C1A">
    <w:pPr>
      <w:pStyle w:val="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BFE85">
    <w:pPr>
      <w:ind w:firstLine="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95CA2">
    <w:pPr>
      <w:ind w:firstLine="42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56BC">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E5"/>
    <w:rsid w:val="00003043"/>
    <w:rsid w:val="000161CB"/>
    <w:rsid w:val="00017C59"/>
    <w:rsid w:val="00023E91"/>
    <w:rsid w:val="00025865"/>
    <w:rsid w:val="0004377E"/>
    <w:rsid w:val="00050434"/>
    <w:rsid w:val="0005088C"/>
    <w:rsid w:val="000577CC"/>
    <w:rsid w:val="000601BF"/>
    <w:rsid w:val="00060801"/>
    <w:rsid w:val="0006195E"/>
    <w:rsid w:val="000709F6"/>
    <w:rsid w:val="00072BDC"/>
    <w:rsid w:val="00074E83"/>
    <w:rsid w:val="00085CEE"/>
    <w:rsid w:val="000A4D51"/>
    <w:rsid w:val="000A7E69"/>
    <w:rsid w:val="000B1345"/>
    <w:rsid w:val="000C4C31"/>
    <w:rsid w:val="000C5720"/>
    <w:rsid w:val="000C5F06"/>
    <w:rsid w:val="000E5649"/>
    <w:rsid w:val="00101198"/>
    <w:rsid w:val="00102911"/>
    <w:rsid w:val="00106E84"/>
    <w:rsid w:val="00107E10"/>
    <w:rsid w:val="0011084C"/>
    <w:rsid w:val="00110D98"/>
    <w:rsid w:val="00116223"/>
    <w:rsid w:val="0012128A"/>
    <w:rsid w:val="00122841"/>
    <w:rsid w:val="0012304C"/>
    <w:rsid w:val="001244E0"/>
    <w:rsid w:val="0013113D"/>
    <w:rsid w:val="001402A1"/>
    <w:rsid w:val="00146A7A"/>
    <w:rsid w:val="00146FD4"/>
    <w:rsid w:val="00154DC7"/>
    <w:rsid w:val="00176C2E"/>
    <w:rsid w:val="00190F48"/>
    <w:rsid w:val="001A7726"/>
    <w:rsid w:val="001B0E10"/>
    <w:rsid w:val="001B2D58"/>
    <w:rsid w:val="001B425D"/>
    <w:rsid w:val="001C2867"/>
    <w:rsid w:val="001D51E9"/>
    <w:rsid w:val="001E18CD"/>
    <w:rsid w:val="001E2FE0"/>
    <w:rsid w:val="001F23A0"/>
    <w:rsid w:val="00201F55"/>
    <w:rsid w:val="00212E5A"/>
    <w:rsid w:val="00222D23"/>
    <w:rsid w:val="00231011"/>
    <w:rsid w:val="00244BE4"/>
    <w:rsid w:val="0026141B"/>
    <w:rsid w:val="00261B9A"/>
    <w:rsid w:val="002647C5"/>
    <w:rsid w:val="00267379"/>
    <w:rsid w:val="00282A1F"/>
    <w:rsid w:val="0029016E"/>
    <w:rsid w:val="002978AA"/>
    <w:rsid w:val="002A1BE1"/>
    <w:rsid w:val="002A4E3F"/>
    <w:rsid w:val="002D5688"/>
    <w:rsid w:val="002D5D9F"/>
    <w:rsid w:val="00302636"/>
    <w:rsid w:val="00312657"/>
    <w:rsid w:val="00323A73"/>
    <w:rsid w:val="00331886"/>
    <w:rsid w:val="00336DF3"/>
    <w:rsid w:val="0034534D"/>
    <w:rsid w:val="00354F13"/>
    <w:rsid w:val="00380CB5"/>
    <w:rsid w:val="003A2D5C"/>
    <w:rsid w:val="003B0327"/>
    <w:rsid w:val="003B0C15"/>
    <w:rsid w:val="003B46D0"/>
    <w:rsid w:val="003B5DCB"/>
    <w:rsid w:val="003C3A33"/>
    <w:rsid w:val="003C5006"/>
    <w:rsid w:val="003E4DDE"/>
    <w:rsid w:val="00401DE5"/>
    <w:rsid w:val="00421DEC"/>
    <w:rsid w:val="00422847"/>
    <w:rsid w:val="004358F0"/>
    <w:rsid w:val="00441DD6"/>
    <w:rsid w:val="00460863"/>
    <w:rsid w:val="00467D9D"/>
    <w:rsid w:val="00474427"/>
    <w:rsid w:val="00474644"/>
    <w:rsid w:val="00474979"/>
    <w:rsid w:val="004761E1"/>
    <w:rsid w:val="00477F9A"/>
    <w:rsid w:val="00481D6F"/>
    <w:rsid w:val="00484350"/>
    <w:rsid w:val="0048445E"/>
    <w:rsid w:val="00493E34"/>
    <w:rsid w:val="004A59CE"/>
    <w:rsid w:val="004B115D"/>
    <w:rsid w:val="004B1639"/>
    <w:rsid w:val="004B34CF"/>
    <w:rsid w:val="004B3D23"/>
    <w:rsid w:val="004C4DC7"/>
    <w:rsid w:val="004D5A54"/>
    <w:rsid w:val="004F1DA7"/>
    <w:rsid w:val="004F2025"/>
    <w:rsid w:val="004F658B"/>
    <w:rsid w:val="00504F8A"/>
    <w:rsid w:val="00522477"/>
    <w:rsid w:val="00531670"/>
    <w:rsid w:val="0054062C"/>
    <w:rsid w:val="005450D1"/>
    <w:rsid w:val="00545743"/>
    <w:rsid w:val="00547ADE"/>
    <w:rsid w:val="00562D5B"/>
    <w:rsid w:val="005842E1"/>
    <w:rsid w:val="0058612C"/>
    <w:rsid w:val="00594936"/>
    <w:rsid w:val="00596EC6"/>
    <w:rsid w:val="005A26EF"/>
    <w:rsid w:val="005A291E"/>
    <w:rsid w:val="005A773F"/>
    <w:rsid w:val="005B5A66"/>
    <w:rsid w:val="005B6444"/>
    <w:rsid w:val="005C1F55"/>
    <w:rsid w:val="005D093A"/>
    <w:rsid w:val="005D2BDC"/>
    <w:rsid w:val="005E3EF4"/>
    <w:rsid w:val="00603392"/>
    <w:rsid w:val="00603EDA"/>
    <w:rsid w:val="00611759"/>
    <w:rsid w:val="00622CD1"/>
    <w:rsid w:val="00633033"/>
    <w:rsid w:val="0064061E"/>
    <w:rsid w:val="00640C45"/>
    <w:rsid w:val="00645AE5"/>
    <w:rsid w:val="00646DBE"/>
    <w:rsid w:val="006477F9"/>
    <w:rsid w:val="00654402"/>
    <w:rsid w:val="0067606B"/>
    <w:rsid w:val="00697AC6"/>
    <w:rsid w:val="006A11B6"/>
    <w:rsid w:val="006A51F5"/>
    <w:rsid w:val="006B19F3"/>
    <w:rsid w:val="006B2B55"/>
    <w:rsid w:val="006C514A"/>
    <w:rsid w:val="006C5727"/>
    <w:rsid w:val="006D2BE1"/>
    <w:rsid w:val="006E5974"/>
    <w:rsid w:val="006E60E4"/>
    <w:rsid w:val="00711A6F"/>
    <w:rsid w:val="0071397F"/>
    <w:rsid w:val="00724ED7"/>
    <w:rsid w:val="0072737E"/>
    <w:rsid w:val="00731081"/>
    <w:rsid w:val="00733E6F"/>
    <w:rsid w:val="00740225"/>
    <w:rsid w:val="007555FB"/>
    <w:rsid w:val="00760268"/>
    <w:rsid w:val="007746C7"/>
    <w:rsid w:val="00792064"/>
    <w:rsid w:val="00793954"/>
    <w:rsid w:val="0079606F"/>
    <w:rsid w:val="007A253F"/>
    <w:rsid w:val="007A3336"/>
    <w:rsid w:val="007B48BE"/>
    <w:rsid w:val="007C286B"/>
    <w:rsid w:val="007C4150"/>
    <w:rsid w:val="007E14F0"/>
    <w:rsid w:val="007E5DA8"/>
    <w:rsid w:val="007E7411"/>
    <w:rsid w:val="007F0275"/>
    <w:rsid w:val="007F5D00"/>
    <w:rsid w:val="00801B61"/>
    <w:rsid w:val="00804310"/>
    <w:rsid w:val="00806E98"/>
    <w:rsid w:val="008165DF"/>
    <w:rsid w:val="00830028"/>
    <w:rsid w:val="008341DE"/>
    <w:rsid w:val="00841B82"/>
    <w:rsid w:val="00846962"/>
    <w:rsid w:val="00851452"/>
    <w:rsid w:val="00853A70"/>
    <w:rsid w:val="0086508F"/>
    <w:rsid w:val="0086671A"/>
    <w:rsid w:val="008805C9"/>
    <w:rsid w:val="00894FF0"/>
    <w:rsid w:val="00895690"/>
    <w:rsid w:val="008A04D4"/>
    <w:rsid w:val="008A2A3A"/>
    <w:rsid w:val="008C3F0C"/>
    <w:rsid w:val="008D5B09"/>
    <w:rsid w:val="008E1F6F"/>
    <w:rsid w:val="008E38E3"/>
    <w:rsid w:val="008F718B"/>
    <w:rsid w:val="00902865"/>
    <w:rsid w:val="009149C0"/>
    <w:rsid w:val="0092099E"/>
    <w:rsid w:val="00922BD1"/>
    <w:rsid w:val="009304EA"/>
    <w:rsid w:val="0093282C"/>
    <w:rsid w:val="009405E8"/>
    <w:rsid w:val="0097062F"/>
    <w:rsid w:val="009B2A29"/>
    <w:rsid w:val="009C1B8C"/>
    <w:rsid w:val="009C3FD8"/>
    <w:rsid w:val="009D7510"/>
    <w:rsid w:val="009E2D45"/>
    <w:rsid w:val="009E4513"/>
    <w:rsid w:val="00A105A7"/>
    <w:rsid w:val="00A200AB"/>
    <w:rsid w:val="00A2377E"/>
    <w:rsid w:val="00A33B59"/>
    <w:rsid w:val="00A3601C"/>
    <w:rsid w:val="00A3659B"/>
    <w:rsid w:val="00A377EF"/>
    <w:rsid w:val="00A37E78"/>
    <w:rsid w:val="00A46F80"/>
    <w:rsid w:val="00A61520"/>
    <w:rsid w:val="00A72980"/>
    <w:rsid w:val="00A76C0E"/>
    <w:rsid w:val="00A86CA5"/>
    <w:rsid w:val="00A91914"/>
    <w:rsid w:val="00A940DC"/>
    <w:rsid w:val="00A94D7E"/>
    <w:rsid w:val="00AA2E3E"/>
    <w:rsid w:val="00AA7A49"/>
    <w:rsid w:val="00AB25CF"/>
    <w:rsid w:val="00AB5A72"/>
    <w:rsid w:val="00AC7397"/>
    <w:rsid w:val="00AD44BB"/>
    <w:rsid w:val="00AD627D"/>
    <w:rsid w:val="00AE7364"/>
    <w:rsid w:val="00AF35D6"/>
    <w:rsid w:val="00AF7704"/>
    <w:rsid w:val="00B0439E"/>
    <w:rsid w:val="00B12164"/>
    <w:rsid w:val="00B16B4C"/>
    <w:rsid w:val="00B2386F"/>
    <w:rsid w:val="00B27A25"/>
    <w:rsid w:val="00B31673"/>
    <w:rsid w:val="00B320B2"/>
    <w:rsid w:val="00B3771F"/>
    <w:rsid w:val="00B44B11"/>
    <w:rsid w:val="00B5304A"/>
    <w:rsid w:val="00B81CDA"/>
    <w:rsid w:val="00B82664"/>
    <w:rsid w:val="00B87669"/>
    <w:rsid w:val="00BA4195"/>
    <w:rsid w:val="00BA4F1B"/>
    <w:rsid w:val="00BA60F2"/>
    <w:rsid w:val="00BA7843"/>
    <w:rsid w:val="00BB3D1A"/>
    <w:rsid w:val="00BB4717"/>
    <w:rsid w:val="00BD118C"/>
    <w:rsid w:val="00BD5556"/>
    <w:rsid w:val="00BE4BDF"/>
    <w:rsid w:val="00BE6460"/>
    <w:rsid w:val="00BF213A"/>
    <w:rsid w:val="00C07CF3"/>
    <w:rsid w:val="00C11547"/>
    <w:rsid w:val="00C267BE"/>
    <w:rsid w:val="00C30B66"/>
    <w:rsid w:val="00C325C8"/>
    <w:rsid w:val="00C37CAC"/>
    <w:rsid w:val="00C437AD"/>
    <w:rsid w:val="00C51EF7"/>
    <w:rsid w:val="00C651D0"/>
    <w:rsid w:val="00C72F03"/>
    <w:rsid w:val="00C763A0"/>
    <w:rsid w:val="00C94B6A"/>
    <w:rsid w:val="00C97D2F"/>
    <w:rsid w:val="00CA459C"/>
    <w:rsid w:val="00CB11E7"/>
    <w:rsid w:val="00CB29E7"/>
    <w:rsid w:val="00CD13ED"/>
    <w:rsid w:val="00CD433B"/>
    <w:rsid w:val="00CD71A6"/>
    <w:rsid w:val="00D02A34"/>
    <w:rsid w:val="00D04060"/>
    <w:rsid w:val="00D10BC5"/>
    <w:rsid w:val="00D328AE"/>
    <w:rsid w:val="00D45616"/>
    <w:rsid w:val="00D519CB"/>
    <w:rsid w:val="00D54E42"/>
    <w:rsid w:val="00D61ECC"/>
    <w:rsid w:val="00D73097"/>
    <w:rsid w:val="00D757B0"/>
    <w:rsid w:val="00DB6163"/>
    <w:rsid w:val="00DC2CA2"/>
    <w:rsid w:val="00DC4B41"/>
    <w:rsid w:val="00DC7668"/>
    <w:rsid w:val="00DD3D60"/>
    <w:rsid w:val="00DF793E"/>
    <w:rsid w:val="00E01171"/>
    <w:rsid w:val="00E06635"/>
    <w:rsid w:val="00E12BFC"/>
    <w:rsid w:val="00E1419B"/>
    <w:rsid w:val="00E35387"/>
    <w:rsid w:val="00E55D34"/>
    <w:rsid w:val="00E64429"/>
    <w:rsid w:val="00E701E4"/>
    <w:rsid w:val="00E912E5"/>
    <w:rsid w:val="00E94140"/>
    <w:rsid w:val="00EC01A5"/>
    <w:rsid w:val="00EC06F1"/>
    <w:rsid w:val="00EE0BC2"/>
    <w:rsid w:val="00EF5068"/>
    <w:rsid w:val="00F1050B"/>
    <w:rsid w:val="00F10A6D"/>
    <w:rsid w:val="00F16126"/>
    <w:rsid w:val="00F20DFF"/>
    <w:rsid w:val="00F27AD6"/>
    <w:rsid w:val="00F36142"/>
    <w:rsid w:val="00F3650A"/>
    <w:rsid w:val="00F6162D"/>
    <w:rsid w:val="00F64A98"/>
    <w:rsid w:val="00F73C3D"/>
    <w:rsid w:val="00F74939"/>
    <w:rsid w:val="00F75F6D"/>
    <w:rsid w:val="00F8597C"/>
    <w:rsid w:val="00F872D3"/>
    <w:rsid w:val="00F8759E"/>
    <w:rsid w:val="00FA2371"/>
    <w:rsid w:val="00FB4B0C"/>
    <w:rsid w:val="00FD1033"/>
    <w:rsid w:val="00FE3E38"/>
    <w:rsid w:val="00FE5CF9"/>
    <w:rsid w:val="00FF6569"/>
    <w:rsid w:val="016D5D29"/>
    <w:rsid w:val="024E31BD"/>
    <w:rsid w:val="025C1B4A"/>
    <w:rsid w:val="04127E28"/>
    <w:rsid w:val="04580A1A"/>
    <w:rsid w:val="045D34D3"/>
    <w:rsid w:val="0461592E"/>
    <w:rsid w:val="051214B4"/>
    <w:rsid w:val="06AB20CE"/>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5E4E2D"/>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7240E"/>
    <w:rsid w:val="464C76CF"/>
    <w:rsid w:val="46AE72BC"/>
    <w:rsid w:val="46BD2650"/>
    <w:rsid w:val="47D755E4"/>
    <w:rsid w:val="47FC538D"/>
    <w:rsid w:val="486115DC"/>
    <w:rsid w:val="4886701B"/>
    <w:rsid w:val="48993612"/>
    <w:rsid w:val="48B86E14"/>
    <w:rsid w:val="49265DF6"/>
    <w:rsid w:val="49D025CA"/>
    <w:rsid w:val="4A04393F"/>
    <w:rsid w:val="4B470073"/>
    <w:rsid w:val="4B4C47AA"/>
    <w:rsid w:val="4BE95B17"/>
    <w:rsid w:val="4DE621FB"/>
    <w:rsid w:val="4DF16F1E"/>
    <w:rsid w:val="4E9F2A08"/>
    <w:rsid w:val="4E9F772E"/>
    <w:rsid w:val="4EB47E60"/>
    <w:rsid w:val="4ED332E9"/>
    <w:rsid w:val="4FA77313"/>
    <w:rsid w:val="5001384B"/>
    <w:rsid w:val="50086768"/>
    <w:rsid w:val="509938A8"/>
    <w:rsid w:val="50B055A1"/>
    <w:rsid w:val="510D1FCC"/>
    <w:rsid w:val="525A3635"/>
    <w:rsid w:val="52A51BA5"/>
    <w:rsid w:val="536F2255"/>
    <w:rsid w:val="539C2AB0"/>
    <w:rsid w:val="53D04C0D"/>
    <w:rsid w:val="53FD6011"/>
    <w:rsid w:val="54E43134"/>
    <w:rsid w:val="54F0136D"/>
    <w:rsid w:val="555E5F94"/>
    <w:rsid w:val="56553771"/>
    <w:rsid w:val="56D96EA8"/>
    <w:rsid w:val="573371E1"/>
    <w:rsid w:val="57AC218E"/>
    <w:rsid w:val="58453CFE"/>
    <w:rsid w:val="58E757B0"/>
    <w:rsid w:val="59173250"/>
    <w:rsid w:val="5A607655"/>
    <w:rsid w:val="5B2F62E3"/>
    <w:rsid w:val="5C5C7EB7"/>
    <w:rsid w:val="5C9F389C"/>
    <w:rsid w:val="5CA64CA6"/>
    <w:rsid w:val="5E4E342D"/>
    <w:rsid w:val="5F0A61D2"/>
    <w:rsid w:val="5F81511B"/>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397E03"/>
    <w:rsid w:val="66642AA7"/>
    <w:rsid w:val="66FD6DE7"/>
    <w:rsid w:val="67D52A51"/>
    <w:rsid w:val="680944DF"/>
    <w:rsid w:val="6845513F"/>
    <w:rsid w:val="68483E44"/>
    <w:rsid w:val="68DB5336"/>
    <w:rsid w:val="6952022C"/>
    <w:rsid w:val="699E7D03"/>
    <w:rsid w:val="69CC7DEF"/>
    <w:rsid w:val="69E878A1"/>
    <w:rsid w:val="69F301ED"/>
    <w:rsid w:val="6AAE10E5"/>
    <w:rsid w:val="6B8C3DEB"/>
    <w:rsid w:val="6BBD684A"/>
    <w:rsid w:val="6BF43FE9"/>
    <w:rsid w:val="6C4C3EAD"/>
    <w:rsid w:val="6C4E728F"/>
    <w:rsid w:val="6CB3063E"/>
    <w:rsid w:val="6D042B84"/>
    <w:rsid w:val="6DB50CB8"/>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B891A08"/>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tLeast"/>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semiHidden/>
    <w:unhideWhenUsed/>
    <w:qFormat/>
    <w:uiPriority w:val="99"/>
    <w:rPr>
      <w:sz w:val="24"/>
    </w:r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1 字符"/>
    <w:basedOn w:val="7"/>
    <w:link w:val="2"/>
    <w:qFormat/>
    <w:uiPriority w:val="9"/>
    <w:rPr>
      <w:b/>
      <w:bCs/>
      <w:kern w:val="44"/>
      <w:sz w:val="44"/>
      <w:szCs w:val="44"/>
    </w:rPr>
  </w:style>
  <w:style w:type="paragraph" w:styleId="12">
    <w:name w:val="List Paragraph"/>
    <w:basedOn w:val="1"/>
    <w:qFormat/>
    <w:uiPriority w:val="99"/>
    <w:pPr>
      <w:widowControl w:val="0"/>
      <w:spacing w:line="240" w:lineRule="auto"/>
      <w:ind w:firstLine="420"/>
    </w:pPr>
    <w:rPr>
      <w:rFonts w:ascii="等线" w:hAnsi="等线" w:eastAsia="等线"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E79EC-75E1-4D4B-B736-9E6434F3DA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9061</Words>
  <Characters>9944</Characters>
  <Lines>74</Lines>
  <Paragraphs>20</Paragraphs>
  <TotalTime>139</TotalTime>
  <ScaleCrop>false</ScaleCrop>
  <LinksUpToDate>false</LinksUpToDate>
  <CharactersWithSpaces>9960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2025-12-12T10:11:00Z</dcterms:created>
  <dc:creator>Marbor</dc:creator>
  <cp:lastModifiedBy>sifang</cp:lastModifiedBy>
  <cp:lastPrinted>2025-12-10T07:46:00Z</cp:lastPrinted>
  <dcterms:modified xsi:type="dcterms:W3CDTF">2025-12-19T03:24:22Z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193DCBBB756C44B492074539CA0F47E6_13</vt:lpwstr>
  </property>
  <property fmtid="{D5CDD505-2E9C-101B-9397-08002B2CF9AE}" pid="4" name="KSOTemplateDocerSaveRecord">
    <vt:lpwstr>eyJoZGlkIjoiN2M4NTRhNjdiMzlkMzRmNGNkOWY1N2FiYTNlMzNjMWMiLCJ1c2VySWQiOiIxMTQ2MTEzMzM0In0=</vt:lpwstr>
  </property>
</Properties>
</file>