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F7A79">
      <w:pPr>
        <w:spacing w:line="600" w:lineRule="exact"/>
        <w:jc w:val="lef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附件1</w:t>
      </w:r>
    </w:p>
    <w:p w14:paraId="03BBB7EE">
      <w:pPr>
        <w:spacing w:line="600" w:lineRule="exact"/>
        <w:jc w:val="center"/>
        <w:rPr>
          <w:rFonts w:eastAsia="方正小标宋简体"/>
          <w:color w:val="000000"/>
          <w:sz w:val="44"/>
          <w:szCs w:val="44"/>
        </w:rPr>
      </w:pPr>
    </w:p>
    <w:p w14:paraId="540611F7"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重庆市2026年高等教育考试招生研究选题指南</w:t>
      </w:r>
    </w:p>
    <w:p w14:paraId="118D07A6">
      <w:pPr>
        <w:spacing w:line="600" w:lineRule="exact"/>
        <w:ind w:firstLine="640" w:firstLineChars="200"/>
        <w:jc w:val="center"/>
        <w:rPr>
          <w:rFonts w:eastAsia="仿宋_GB2312"/>
          <w:sz w:val="32"/>
          <w:szCs w:val="32"/>
        </w:rPr>
      </w:pPr>
    </w:p>
    <w:p w14:paraId="71F3D4C7">
      <w:pPr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一、招考安全保障</w:t>
      </w:r>
    </w:p>
    <w:p w14:paraId="511482BB">
      <w:pPr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二、数字赋能招考</w:t>
      </w:r>
    </w:p>
    <w:p w14:paraId="6FE4A121">
      <w:pPr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三、优化招生结构</w:t>
      </w:r>
    </w:p>
    <w:p w14:paraId="7E346715">
      <w:pPr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四、招考数据利用</w:t>
      </w:r>
    </w:p>
    <w:p w14:paraId="0538DDFE">
      <w:pPr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五、招考舆论环境</w:t>
      </w:r>
    </w:p>
    <w:p w14:paraId="0823728D">
      <w:pPr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六、高校招生宣传</w:t>
      </w:r>
    </w:p>
    <w:p w14:paraId="1899E31E">
      <w:pPr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七、高考报名资格</w:t>
      </w:r>
    </w:p>
    <w:p w14:paraId="19E130A5">
      <w:pPr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八、拓展高校生源</w:t>
      </w:r>
    </w:p>
    <w:p w14:paraId="6FA4F2A5">
      <w:pPr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九、职教高考制度</w:t>
      </w:r>
    </w:p>
    <w:p w14:paraId="1300734D">
      <w:pPr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十、硕士研究生统一考试招生</w:t>
      </w:r>
    </w:p>
    <w:p w14:paraId="65F28D12">
      <w:pPr>
        <w:spacing w:line="600" w:lineRule="exact"/>
        <w:ind w:firstLine="640" w:firstLineChars="200"/>
        <w:jc w:val="left"/>
        <w:rPr>
          <w:rFonts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十一、硕士研究生“推免”工作</w:t>
      </w:r>
    </w:p>
    <w:p w14:paraId="71EF864E">
      <w:pPr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十二、博士研究生招生工作</w:t>
      </w:r>
    </w:p>
    <w:p w14:paraId="3A7F37E4">
      <w:pPr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十三、高考志愿填报指导</w:t>
      </w:r>
    </w:p>
    <w:p w14:paraId="1795DDC6">
      <w:pPr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十四、高校新生报到率</w:t>
      </w:r>
    </w:p>
    <w:p w14:paraId="62BAC23F">
      <w:pPr>
        <w:spacing w:line="600" w:lineRule="exact"/>
        <w:ind w:firstLine="640" w:firstLineChars="200"/>
        <w:jc w:val="lef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color w:val="000000"/>
          <w:kern w:val="0"/>
          <w:sz w:val="32"/>
          <w:szCs w:val="32"/>
        </w:rPr>
        <w:t>十五、招考队伍建设</w:t>
      </w:r>
    </w:p>
    <w:p w14:paraId="0F5D9013">
      <w:pPr>
        <w:spacing w:line="600" w:lineRule="exact"/>
        <w:jc w:val="left"/>
        <w:rPr>
          <w:rFonts w:eastAsia="方正黑体_GBK"/>
          <w:sz w:val="32"/>
          <w:szCs w:val="32"/>
        </w:rPr>
      </w:pPr>
    </w:p>
    <w:p w14:paraId="21A55A44">
      <w:pPr>
        <w:spacing w:line="600" w:lineRule="exact"/>
        <w:jc w:val="left"/>
        <w:rPr>
          <w:rFonts w:eastAsia="方正黑体_GBK"/>
          <w:sz w:val="32"/>
          <w:szCs w:val="32"/>
        </w:rPr>
      </w:pPr>
    </w:p>
    <w:p w14:paraId="2379864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99AD422-2154-4EF5-9B65-C2A3DBE94AFA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E23E2D76-B9B7-44BC-A45B-C97B0FE092D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EA6E909-93D4-460B-BBF1-9DAB3922B76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F4611F1C-E914-4693-B5DE-A98AF389C5D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DC7C4744-0F91-4A3D-AE6F-72F932D9762A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6F1C8998-CCB4-433A-B36D-4CB9027D29D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02D01"/>
    <w:rsid w:val="31202D01"/>
    <w:rsid w:val="73BB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2026-03-05T03:10:00Z</dcterms:created>
  <dc:creator>昭昭</dc:creator>
  <cp:lastModifiedBy>昭昭</cp:lastModifiedBy>
  <dcterms:modified xsi:type="dcterms:W3CDTF">2026-03-05T03:11:42Z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6BDED71C339445F69CCCE83FB450FFE3_11</vt:lpwstr>
  </property>
  <property fmtid="{D5CDD505-2E9C-101B-9397-08002B2CF9AE}" pid="4" name="KSOTemplateDocerSaveRecord">
    <vt:lpwstr>eyJoZGlkIjoiM2ZiZGU4ZDQwNDM4NWIxZjYwMjg4YzVjYTNjMThmMzYiLCJ1c2VySWQiOiIzNTEyMTY3OTIifQ==</vt:lpwstr>
  </property>
</Properties>
</file>