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4446D9">
      <w:pPr>
        <w:keepNext w:val="0"/>
        <w:keepLines w:val="0"/>
        <w:pageBreakBefore w:val="0"/>
        <w:widowControl/>
        <w:kinsoku/>
        <w:wordWrap/>
        <w:overflowPunct/>
        <w:topLinePunct w:val="0"/>
        <w:autoSpaceDE/>
        <w:autoSpaceDN/>
        <w:bidi w:val="0"/>
        <w:adjustRightInd/>
        <w:snapToGrid/>
        <w:spacing w:after="0" w:line="600" w:lineRule="exact"/>
        <w:textAlignment w:val="auto"/>
        <w:rPr>
          <w:rFonts w:hint="eastAsia" w:ascii="黑体" w:hAnsi="黑体" w:eastAsia="黑体" w:cs="黑体"/>
          <w:spacing w:val="-8"/>
          <w:sz w:val="32"/>
          <w:szCs w:val="32"/>
          <w:highlight w:val="none"/>
        </w:rPr>
      </w:pPr>
      <w:bookmarkStart w:id="0" w:name="_GoBack"/>
      <w:r>
        <w:rPr>
          <w:rFonts w:hint="eastAsia" w:ascii="黑体" w:hAnsi="黑体" w:eastAsia="黑体" w:cs="黑体"/>
          <w:spacing w:val="-8"/>
          <w:sz w:val="32"/>
          <w:szCs w:val="32"/>
          <w:highlight w:val="none"/>
        </w:rPr>
        <w:t>附件</w:t>
      </w:r>
      <w:r>
        <w:rPr>
          <w:rFonts w:hint="eastAsia" w:ascii="Times New Roman" w:hAnsi="Times New Roman" w:eastAsia="黑体" w:cs="黑体"/>
          <w:spacing w:val="-8"/>
          <w:sz w:val="32"/>
          <w:szCs w:val="32"/>
          <w:highlight w:val="none"/>
        </w:rPr>
        <w:t>1</w:t>
      </w:r>
    </w:p>
    <w:p w14:paraId="5B2208F3">
      <w:pPr>
        <w:keepNext w:val="0"/>
        <w:keepLines w:val="0"/>
        <w:pageBreakBefore w:val="0"/>
        <w:widowControl/>
        <w:kinsoku/>
        <w:wordWrap/>
        <w:overflowPunct/>
        <w:topLinePunct w:val="0"/>
        <w:autoSpaceDE/>
        <w:autoSpaceDN/>
        <w:bidi w:val="0"/>
        <w:adjustRightInd/>
        <w:snapToGrid/>
        <w:spacing w:after="0" w:line="600" w:lineRule="exact"/>
        <w:jc w:val="center"/>
        <w:textAlignment w:val="auto"/>
        <w:rPr>
          <w:rFonts w:hint="eastAsia" w:ascii="Times New Roman" w:hAnsi="Times New Roman" w:eastAsia="方正小标宋_GBK" w:cs="Times New Roman"/>
          <w:sz w:val="44"/>
          <w:szCs w:val="44"/>
        </w:rPr>
      </w:pPr>
    </w:p>
    <w:p w14:paraId="25BC3495">
      <w:pPr>
        <w:keepNext w:val="0"/>
        <w:keepLines w:val="0"/>
        <w:pageBreakBefore w:val="0"/>
        <w:widowControl/>
        <w:kinsoku/>
        <w:wordWrap/>
        <w:overflowPunct/>
        <w:topLinePunct w:val="0"/>
        <w:autoSpaceDE/>
        <w:autoSpaceDN/>
        <w:bidi w:val="0"/>
        <w:adjustRightInd/>
        <w:snapToGrid/>
        <w:spacing w:after="0" w:line="600" w:lineRule="exact"/>
        <w:jc w:val="center"/>
        <w:textAlignment w:val="auto"/>
        <w:rPr>
          <w:rFonts w:hint="eastAsia" w:ascii="Times New Roman" w:hAnsi="Times New Roman" w:eastAsia="方正小标宋_GBK" w:cs="Times New Roman"/>
          <w:sz w:val="44"/>
          <w:szCs w:val="44"/>
        </w:rPr>
      </w:pPr>
      <w:r>
        <w:rPr>
          <w:rFonts w:hint="eastAsia" w:ascii="Times New Roman" w:hAnsi="Times New Roman" w:eastAsia="方正小标宋_GBK" w:cs="Times New Roman"/>
          <w:sz w:val="44"/>
          <w:szCs w:val="44"/>
        </w:rPr>
        <w:t>2026年度两江新区社会科学规划项目</w:t>
      </w:r>
    </w:p>
    <w:p w14:paraId="1DED7EE6">
      <w:pPr>
        <w:keepNext w:val="0"/>
        <w:keepLines w:val="0"/>
        <w:pageBreakBefore w:val="0"/>
        <w:widowControl/>
        <w:kinsoku/>
        <w:wordWrap/>
        <w:overflowPunct/>
        <w:topLinePunct w:val="0"/>
        <w:autoSpaceDE/>
        <w:autoSpaceDN/>
        <w:bidi w:val="0"/>
        <w:adjustRightInd/>
        <w:snapToGrid/>
        <w:spacing w:after="0" w:line="600" w:lineRule="exact"/>
        <w:jc w:val="center"/>
        <w:textAlignment w:val="auto"/>
        <w:rPr>
          <w:rFonts w:hint="eastAsia" w:ascii="Times New Roman" w:hAnsi="Times New Roman" w:eastAsia="方正小标宋_GBK" w:cs="Times New Roman"/>
          <w:sz w:val="44"/>
          <w:szCs w:val="44"/>
        </w:rPr>
      </w:pPr>
      <w:r>
        <w:rPr>
          <w:rFonts w:hint="eastAsia" w:ascii="Times New Roman" w:hAnsi="Times New Roman" w:eastAsia="方正小标宋_GBK" w:cs="Times New Roman"/>
          <w:sz w:val="44"/>
          <w:szCs w:val="44"/>
        </w:rPr>
        <w:t>选题指南</w:t>
      </w:r>
    </w:p>
    <w:bookmarkEnd w:id="0"/>
    <w:p w14:paraId="5E438C8A">
      <w:pPr>
        <w:keepNext w:val="0"/>
        <w:keepLines w:val="0"/>
        <w:pageBreakBefore w:val="0"/>
        <w:widowControl/>
        <w:kinsoku/>
        <w:wordWrap/>
        <w:overflowPunct/>
        <w:topLinePunct w:val="0"/>
        <w:autoSpaceDE/>
        <w:autoSpaceDN/>
        <w:bidi w:val="0"/>
        <w:adjustRightInd/>
        <w:snapToGrid/>
        <w:spacing w:after="0" w:line="600" w:lineRule="exact"/>
        <w:jc w:val="center"/>
        <w:textAlignment w:val="auto"/>
        <w:rPr>
          <w:rFonts w:hint="eastAsia" w:ascii="Times New Roman" w:hAnsi="Times New Roman" w:eastAsia="方正小标宋_GBK" w:cs="Times New Roman"/>
          <w:sz w:val="44"/>
          <w:szCs w:val="44"/>
        </w:rPr>
      </w:pPr>
    </w:p>
    <w:p w14:paraId="41237009">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放大国家级新区和行政区融合发展优势，打造两江新区营商环境“升级版”</w:t>
      </w:r>
      <w:r>
        <w:rPr>
          <w:rFonts w:hint="eastAsia" w:ascii="Times New Roman" w:hAnsi="Times New Roman" w:eastAsia="方正仿宋_GBK"/>
          <w:sz w:val="32"/>
          <w:szCs w:val="32"/>
          <w:lang w:eastAsia="zh-CN"/>
        </w:rPr>
        <w:t>（</w:t>
      </w:r>
      <w:r>
        <w:rPr>
          <w:rFonts w:hint="eastAsia" w:ascii="Times New Roman" w:hAnsi="Times New Roman" w:eastAsia="方正仿宋_GBK"/>
          <w:sz w:val="32"/>
          <w:szCs w:val="32"/>
          <w:lang w:val="en-US" w:eastAsia="zh-CN"/>
        </w:rPr>
        <w:t>重点</w:t>
      </w:r>
      <w:r>
        <w:rPr>
          <w:rFonts w:hint="eastAsia" w:ascii="Times New Roman" w:hAnsi="Times New Roman" w:eastAsia="方正仿宋_GBK"/>
          <w:sz w:val="32"/>
          <w:szCs w:val="32"/>
          <w:lang w:eastAsia="zh-CN"/>
        </w:rPr>
        <w:t>）</w:t>
      </w:r>
    </w:p>
    <w:p w14:paraId="7FB1FB33">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数字经济赋能两江新区文化消费新业态培育的路径研究</w:t>
      </w:r>
      <w:r>
        <w:rPr>
          <w:rFonts w:hint="eastAsia" w:ascii="Times New Roman" w:hAnsi="Times New Roman" w:eastAsia="方正仿宋_GBK"/>
          <w:sz w:val="32"/>
          <w:szCs w:val="32"/>
          <w:lang w:eastAsia="zh-CN"/>
        </w:rPr>
        <w:t>（</w:t>
      </w:r>
      <w:r>
        <w:rPr>
          <w:rFonts w:hint="eastAsia" w:ascii="Times New Roman" w:hAnsi="Times New Roman" w:eastAsia="方正仿宋_GBK"/>
          <w:sz w:val="32"/>
          <w:szCs w:val="32"/>
          <w:lang w:val="en-US" w:eastAsia="zh-CN"/>
        </w:rPr>
        <w:t>重点</w:t>
      </w:r>
      <w:r>
        <w:rPr>
          <w:rFonts w:hint="eastAsia" w:ascii="Times New Roman" w:hAnsi="Times New Roman" w:eastAsia="方正仿宋_GBK"/>
          <w:sz w:val="32"/>
          <w:szCs w:val="32"/>
          <w:lang w:eastAsia="zh-CN"/>
        </w:rPr>
        <w:t>）</w:t>
      </w:r>
    </w:p>
    <w:p w14:paraId="7A100506">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两江新区加快科技成果转化枢纽建设路径与机制</w:t>
      </w:r>
      <w:r>
        <w:rPr>
          <w:rFonts w:hint="eastAsia" w:ascii="Times New Roman" w:hAnsi="Times New Roman" w:eastAsia="方正仿宋_GBK"/>
          <w:sz w:val="32"/>
          <w:szCs w:val="32"/>
          <w:lang w:eastAsia="zh-CN"/>
        </w:rPr>
        <w:t>（</w:t>
      </w:r>
      <w:r>
        <w:rPr>
          <w:rFonts w:hint="eastAsia" w:ascii="Times New Roman" w:hAnsi="Times New Roman" w:eastAsia="方正仿宋_GBK"/>
          <w:sz w:val="32"/>
          <w:szCs w:val="32"/>
          <w:lang w:val="en-US" w:eastAsia="zh-CN"/>
        </w:rPr>
        <w:t>重点</w:t>
      </w:r>
      <w:r>
        <w:rPr>
          <w:rFonts w:hint="eastAsia" w:ascii="Times New Roman" w:hAnsi="Times New Roman" w:eastAsia="方正仿宋_GBK"/>
          <w:sz w:val="32"/>
          <w:szCs w:val="32"/>
          <w:lang w:eastAsia="zh-CN"/>
        </w:rPr>
        <w:t>）</w:t>
      </w:r>
    </w:p>
    <w:p w14:paraId="19C9348D">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高科技制造企业海外利益风险识别与动态适应机制研究</w:t>
      </w:r>
      <w:r>
        <w:rPr>
          <w:rFonts w:hint="eastAsia" w:ascii="Times New Roman" w:hAnsi="Times New Roman" w:eastAsia="方正仿宋_GBK"/>
          <w:sz w:val="32"/>
          <w:szCs w:val="32"/>
          <w:lang w:eastAsia="zh-CN"/>
        </w:rPr>
        <w:t>（</w:t>
      </w:r>
      <w:r>
        <w:rPr>
          <w:rFonts w:hint="eastAsia" w:ascii="Times New Roman" w:hAnsi="Times New Roman" w:eastAsia="方正仿宋_GBK"/>
          <w:sz w:val="32"/>
          <w:szCs w:val="32"/>
          <w:lang w:val="en-US" w:eastAsia="zh-CN"/>
        </w:rPr>
        <w:t>重点</w:t>
      </w:r>
      <w:r>
        <w:rPr>
          <w:rFonts w:hint="eastAsia" w:ascii="Times New Roman" w:hAnsi="Times New Roman" w:eastAsia="方正仿宋_GBK"/>
          <w:sz w:val="32"/>
          <w:szCs w:val="32"/>
          <w:lang w:eastAsia="zh-CN"/>
        </w:rPr>
        <w:t>）</w:t>
      </w:r>
    </w:p>
    <w:p w14:paraId="1D5D4146">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党建引领下两江新区新业态劳动者权益保障与收益分配机制研究</w:t>
      </w:r>
      <w:r>
        <w:rPr>
          <w:rFonts w:hint="eastAsia" w:ascii="Times New Roman" w:hAnsi="Times New Roman" w:eastAsia="方正仿宋_GBK"/>
          <w:sz w:val="32"/>
          <w:szCs w:val="32"/>
          <w:lang w:eastAsia="zh-CN"/>
        </w:rPr>
        <w:t>（</w:t>
      </w:r>
      <w:r>
        <w:rPr>
          <w:rFonts w:hint="eastAsia" w:ascii="Times New Roman" w:hAnsi="Times New Roman" w:eastAsia="方正仿宋_GBK"/>
          <w:sz w:val="32"/>
          <w:szCs w:val="32"/>
          <w:lang w:val="en-US" w:eastAsia="zh-CN"/>
        </w:rPr>
        <w:t>重点</w:t>
      </w:r>
      <w:r>
        <w:rPr>
          <w:rFonts w:hint="eastAsia" w:ascii="Times New Roman" w:hAnsi="Times New Roman" w:eastAsia="方正仿宋_GBK"/>
          <w:sz w:val="32"/>
          <w:szCs w:val="32"/>
          <w:lang w:eastAsia="zh-CN"/>
        </w:rPr>
        <w:t>）</w:t>
      </w:r>
    </w:p>
    <w:p w14:paraId="5A414F35">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共同富裕目标下两江新区城镇居民增收的影响机制、现实障碍与实现路径研究</w:t>
      </w:r>
      <w:r>
        <w:rPr>
          <w:rFonts w:hint="eastAsia" w:ascii="Times New Roman" w:hAnsi="Times New Roman" w:eastAsia="方正仿宋_GBK"/>
          <w:sz w:val="32"/>
          <w:szCs w:val="32"/>
          <w:lang w:eastAsia="zh-CN"/>
        </w:rPr>
        <w:t>（</w:t>
      </w:r>
      <w:r>
        <w:rPr>
          <w:rFonts w:hint="eastAsia" w:ascii="Times New Roman" w:hAnsi="Times New Roman" w:eastAsia="方正仿宋_GBK"/>
          <w:sz w:val="32"/>
          <w:szCs w:val="32"/>
          <w:lang w:val="en-US" w:eastAsia="zh-CN"/>
        </w:rPr>
        <w:t>重点</w:t>
      </w:r>
      <w:r>
        <w:rPr>
          <w:rFonts w:hint="eastAsia" w:ascii="Times New Roman" w:hAnsi="Times New Roman" w:eastAsia="方正仿宋_GBK"/>
          <w:sz w:val="32"/>
          <w:szCs w:val="32"/>
          <w:lang w:eastAsia="zh-CN"/>
        </w:rPr>
        <w:t>）</w:t>
      </w:r>
    </w:p>
    <w:p w14:paraId="1FD0D4B5">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两江新区推进生产性服务业向专业化和价值链高端延伸的路径与政策研究</w:t>
      </w:r>
      <w:r>
        <w:rPr>
          <w:rFonts w:hint="eastAsia" w:ascii="Times New Roman" w:hAnsi="Times New Roman" w:eastAsia="方正仿宋_GBK"/>
          <w:sz w:val="32"/>
          <w:szCs w:val="32"/>
          <w:lang w:eastAsia="zh-CN"/>
        </w:rPr>
        <w:t>（</w:t>
      </w:r>
      <w:r>
        <w:rPr>
          <w:rFonts w:hint="eastAsia" w:ascii="Times New Roman" w:hAnsi="Times New Roman" w:eastAsia="方正仿宋_GBK"/>
          <w:sz w:val="32"/>
          <w:szCs w:val="32"/>
          <w:lang w:val="en-US" w:eastAsia="zh-CN"/>
        </w:rPr>
        <w:t>重点</w:t>
      </w:r>
      <w:r>
        <w:rPr>
          <w:rFonts w:hint="eastAsia" w:ascii="Times New Roman" w:hAnsi="Times New Roman" w:eastAsia="方正仿宋_GBK"/>
          <w:sz w:val="32"/>
          <w:szCs w:val="32"/>
          <w:lang w:eastAsia="zh-CN"/>
        </w:rPr>
        <w:t>）</w:t>
      </w:r>
    </w:p>
    <w:p w14:paraId="300AFECD">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全市“六区一高地”战略下两江新区发挥示范引领作用实现新突破研究</w:t>
      </w:r>
      <w:r>
        <w:rPr>
          <w:rFonts w:hint="eastAsia" w:ascii="Times New Roman" w:hAnsi="Times New Roman" w:eastAsia="方正仿宋_GBK"/>
          <w:sz w:val="32"/>
          <w:szCs w:val="32"/>
          <w:lang w:eastAsia="zh-CN"/>
        </w:rPr>
        <w:t>（</w:t>
      </w:r>
      <w:r>
        <w:rPr>
          <w:rFonts w:hint="eastAsia" w:ascii="Times New Roman" w:hAnsi="Times New Roman" w:eastAsia="方正仿宋_GBK"/>
          <w:sz w:val="32"/>
          <w:szCs w:val="32"/>
          <w:lang w:val="en-US" w:eastAsia="zh-CN"/>
        </w:rPr>
        <w:t>重点</w:t>
      </w:r>
      <w:r>
        <w:rPr>
          <w:rFonts w:hint="eastAsia" w:ascii="Times New Roman" w:hAnsi="Times New Roman" w:eastAsia="方正仿宋_GBK"/>
          <w:sz w:val="32"/>
          <w:szCs w:val="32"/>
          <w:lang w:eastAsia="zh-CN"/>
        </w:rPr>
        <w:t>）</w:t>
      </w:r>
    </w:p>
    <w:p w14:paraId="7E73335E">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两江新区聚焦破解城市超大社区治理难题积极创新党群服务中心建设运营模式</w:t>
      </w:r>
      <w:r>
        <w:rPr>
          <w:rFonts w:hint="eastAsia" w:ascii="Times New Roman" w:hAnsi="Times New Roman" w:eastAsia="方正仿宋_GBK"/>
          <w:sz w:val="32"/>
          <w:szCs w:val="32"/>
          <w:lang w:eastAsia="zh-CN"/>
        </w:rPr>
        <w:t>（</w:t>
      </w:r>
      <w:r>
        <w:rPr>
          <w:rFonts w:hint="eastAsia" w:ascii="Times New Roman" w:hAnsi="Times New Roman" w:eastAsia="方正仿宋_GBK"/>
          <w:sz w:val="32"/>
          <w:szCs w:val="32"/>
          <w:lang w:val="en-US" w:eastAsia="zh-CN"/>
        </w:rPr>
        <w:t>重点</w:t>
      </w:r>
      <w:r>
        <w:rPr>
          <w:rFonts w:hint="eastAsia" w:ascii="Times New Roman" w:hAnsi="Times New Roman" w:eastAsia="方正仿宋_GBK"/>
          <w:sz w:val="32"/>
          <w:szCs w:val="32"/>
          <w:lang w:eastAsia="zh-CN"/>
        </w:rPr>
        <w:t>）</w:t>
      </w:r>
    </w:p>
    <w:p w14:paraId="13729C4E">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关于盘活两江新区国有资源化解企业债务、解决两江新区国企市场化改革分流、机关事业单位临时工分流就业的综合改革路径研究</w:t>
      </w:r>
      <w:r>
        <w:rPr>
          <w:rFonts w:hint="eastAsia" w:ascii="Times New Roman" w:hAnsi="Times New Roman" w:eastAsia="方正仿宋_GBK"/>
          <w:sz w:val="32"/>
          <w:szCs w:val="32"/>
          <w:lang w:eastAsia="zh-CN"/>
        </w:rPr>
        <w:t>（</w:t>
      </w:r>
      <w:r>
        <w:rPr>
          <w:rFonts w:hint="eastAsia" w:ascii="Times New Roman" w:hAnsi="Times New Roman" w:eastAsia="方正仿宋_GBK"/>
          <w:sz w:val="32"/>
          <w:szCs w:val="32"/>
          <w:lang w:val="en-US" w:eastAsia="zh-CN"/>
        </w:rPr>
        <w:t>重点</w:t>
      </w:r>
      <w:r>
        <w:rPr>
          <w:rFonts w:hint="eastAsia" w:ascii="Times New Roman" w:hAnsi="Times New Roman" w:eastAsia="方正仿宋_GBK"/>
          <w:sz w:val="32"/>
          <w:szCs w:val="32"/>
          <w:lang w:eastAsia="zh-CN"/>
        </w:rPr>
        <w:t>）</w:t>
      </w:r>
    </w:p>
    <w:p w14:paraId="610FC146">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行政执法监督体系的一体化构建与效能提升研究</w:t>
      </w:r>
      <w:r>
        <w:rPr>
          <w:rFonts w:hint="eastAsia" w:ascii="Times New Roman" w:hAnsi="Times New Roman" w:eastAsia="方正仿宋_GBK"/>
          <w:sz w:val="32"/>
          <w:szCs w:val="32"/>
          <w:lang w:val="en-US" w:eastAsia="zh-CN"/>
        </w:rPr>
        <w:t xml:space="preserve"> </w:t>
      </w:r>
    </w:p>
    <w:p w14:paraId="568CAF70">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两江新区群众体育赛事家庭消费激活机制研究</w:t>
      </w:r>
    </w:p>
    <w:p w14:paraId="19D9A158">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“十五五”时期两江新区重大科技成果高效转化机制研究</w:t>
      </w:r>
    </w:p>
    <w:p w14:paraId="0A2F4D8A">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两江新区知识产权全链条服务生态构建研究</w:t>
      </w:r>
    </w:p>
    <w:p w14:paraId="2CD5E842">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基层智治体系下地质灾害应急响应的“闭环治理”逻辑与效能转化研究</w:t>
      </w:r>
    </w:p>
    <w:p w14:paraId="67291F1A">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地方红色文化资源赋能大中小学思政课实践教学的一体化路径研究</w:t>
      </w:r>
    </w:p>
    <w:p w14:paraId="4827C0E0">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重庆市两江新区打造现代制造业集群的问题、成因与对策研究</w:t>
      </w:r>
    </w:p>
    <w:p w14:paraId="3C15EC9C">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“内卷式”竞争背景下两江新区汽车产业链中小企业转型与稳就业研究</w:t>
      </w:r>
    </w:p>
    <w:p w14:paraId="55844526">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两江新区优势产业出海中的国际传播资源转化与协同机制研究</w:t>
      </w:r>
    </w:p>
    <w:p w14:paraId="1CBFFC6E">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highlight w:val="none"/>
        </w:rPr>
      </w:pPr>
      <w:r>
        <w:rPr>
          <w:rFonts w:hint="eastAsia" w:ascii="Times New Roman" w:hAnsi="Times New Roman" w:eastAsia="方正仿宋_GBK"/>
          <w:sz w:val="32"/>
          <w:szCs w:val="32"/>
          <w:highlight w:val="none"/>
        </w:rPr>
        <w:t>数智赋能两江新区文化产业升级</w:t>
      </w:r>
      <w:r>
        <w:rPr>
          <w:rFonts w:hint="eastAsia" w:ascii="Times New Roman" w:hAnsi="Times New Roman" w:eastAsia="方正仿宋_GBK"/>
          <w:sz w:val="32"/>
          <w:szCs w:val="32"/>
          <w:highlight w:val="none"/>
          <w:lang w:val="en-US" w:eastAsia="zh-CN"/>
        </w:rPr>
        <w:t>或</w:t>
      </w:r>
      <w:r>
        <w:rPr>
          <w:rFonts w:hint="eastAsia" w:ascii="Times New Roman" w:hAnsi="Times New Roman" w:eastAsia="方正仿宋_GBK"/>
          <w:sz w:val="32"/>
          <w:szCs w:val="32"/>
          <w:highlight w:val="none"/>
        </w:rPr>
        <w:t>城市</w:t>
      </w:r>
      <w:r>
        <w:rPr>
          <w:rFonts w:hint="eastAsia" w:ascii="Times New Roman" w:hAnsi="Times New Roman" w:eastAsia="方正仿宋_GBK"/>
          <w:sz w:val="32"/>
          <w:szCs w:val="32"/>
          <w:highlight w:val="none"/>
          <w:lang w:val="en-US" w:eastAsia="zh-CN"/>
        </w:rPr>
        <w:t>文化</w:t>
      </w:r>
      <w:r>
        <w:rPr>
          <w:rFonts w:hint="eastAsia" w:ascii="Times New Roman" w:hAnsi="Times New Roman" w:eastAsia="方正仿宋_GBK"/>
          <w:sz w:val="32"/>
          <w:szCs w:val="32"/>
          <w:highlight w:val="none"/>
        </w:rPr>
        <w:t>IP</w:t>
      </w:r>
      <w:r>
        <w:rPr>
          <w:rFonts w:hint="eastAsia" w:ascii="Times New Roman" w:hAnsi="Times New Roman" w:eastAsia="方正仿宋_GBK"/>
          <w:sz w:val="32"/>
          <w:szCs w:val="32"/>
          <w:highlight w:val="none"/>
          <w:lang w:val="en-US" w:eastAsia="zh-CN"/>
        </w:rPr>
        <w:t>构建与</w:t>
      </w:r>
      <w:r>
        <w:rPr>
          <w:rFonts w:hint="eastAsia" w:ascii="Times New Roman" w:hAnsi="Times New Roman" w:eastAsia="方正仿宋_GBK"/>
          <w:sz w:val="32"/>
          <w:szCs w:val="32"/>
          <w:highlight w:val="none"/>
        </w:rPr>
        <w:t>传播研究</w:t>
      </w:r>
    </w:p>
    <w:p w14:paraId="5A6DB2C3">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两江新区灵活就业人员养老保险扩面路径研究</w:t>
      </w:r>
    </w:p>
    <w:p w14:paraId="1FF4A0F2">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基于TOD模式的两江新区轨道交通站点综合开发项目管理研究</w:t>
      </w:r>
    </w:p>
    <w:p w14:paraId="64F63B2C">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高职院校“双高”建设背景下产教融合赋能地区现代产业体系路径研究</w:t>
      </w:r>
    </w:p>
    <w:p w14:paraId="14CCBD05">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highlight w:val="none"/>
        </w:rPr>
      </w:pPr>
      <w:r>
        <w:rPr>
          <w:rFonts w:hint="eastAsia" w:ascii="Times New Roman" w:hAnsi="Times New Roman" w:eastAsia="方正仿宋_GBK"/>
          <w:sz w:val="32"/>
          <w:szCs w:val="32"/>
          <w:highlight w:val="none"/>
        </w:rPr>
        <w:t>成渝地区双城经济圈低空经济安全治理与产业研究</w:t>
      </w:r>
    </w:p>
    <w:p w14:paraId="0C35DE6C">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新质生产力视域下两江新区建设国家级未来产业先导区路径研究</w:t>
      </w:r>
    </w:p>
    <w:p w14:paraId="149CB788">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协同治理视角下两江新区中小学生心理健康风险防范机制研究</w:t>
      </w:r>
    </w:p>
    <w:p w14:paraId="7FC7B2C8">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西部陆海新通道建设背景下两江新区陆海联动与内陆开放能级提升路径研究</w:t>
      </w:r>
    </w:p>
    <w:p w14:paraId="67A76BDF">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培育壮大数字消费新业态赋能两江新区国际消费核心承载区建设对策研究</w:t>
      </w:r>
    </w:p>
    <w:p w14:paraId="2A5021E9">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数字化驱动两江新区防灾减灾救灾现代化能力提升对策研究</w:t>
      </w:r>
    </w:p>
    <w:p w14:paraId="3A1E4BCB">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提升欧洲重庆中心“十五五”发展能级的路径研究</w:t>
      </w:r>
    </w:p>
    <w:p w14:paraId="17D793B6">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两江新区行政区与开发区融合改革的治理机制创新研究</w:t>
      </w:r>
    </w:p>
    <w:p w14:paraId="5538B562">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两江新区与天府新区深化创新链产业链协同的路径研究</w:t>
      </w:r>
    </w:p>
    <w:p w14:paraId="71407015">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两江新区青春经济培育机制与创新路径研究</w:t>
      </w:r>
    </w:p>
    <w:p w14:paraId="633C4EAD">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两江新区“一区多园”科创城全域协同创新机制研究</w:t>
      </w:r>
    </w:p>
    <w:p w14:paraId="329CB297">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两江新区高品质生活服务圈建设路径研究</w:t>
      </w:r>
    </w:p>
    <w:p w14:paraId="56E4FFB1">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两江新区人工智能赋能制造业转型升级路径研究</w:t>
      </w:r>
    </w:p>
    <w:p w14:paraId="3FC65D8E">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两江新区超大城市现代化治理的实证研究</w:t>
      </w:r>
    </w:p>
    <w:p w14:paraId="5AD3A914">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新兴产业一站式公共服务载体建设研究</w:t>
      </w:r>
    </w:p>
    <w:p w14:paraId="5039509C">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资本市场赋能两江新区现代化产业体系发展能级提升策略研究</w:t>
      </w:r>
    </w:p>
    <w:p w14:paraId="5017585A">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两江新区推动打造国际医疗服务高地路径研究</w:t>
      </w:r>
    </w:p>
    <w:p w14:paraId="6874DC9F">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超大城市社区食堂的可持续发展路径探析</w:t>
      </w:r>
    </w:p>
    <w:p w14:paraId="7221B572">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汽车制造业数字化转型赋能两江新区新型工业化高质量发展研究</w:t>
      </w:r>
    </w:p>
    <w:p w14:paraId="783F6BCF">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新消费背景下两江新区汽车后市场消费业态培育对策研究</w:t>
      </w:r>
    </w:p>
    <w:p w14:paraId="1792DD10">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两江新区教育科技人才一体化发展实践路径研究</w:t>
      </w:r>
    </w:p>
    <w:p w14:paraId="01A51E25">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新时代两江新区清廉建设实践路径研究</w:t>
      </w:r>
    </w:p>
    <w:p w14:paraId="54EEA6CE">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两江新区网信企业现状研究及对策建议</w:t>
      </w:r>
    </w:p>
    <w:p w14:paraId="53DD4C52">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全国统一大市场建设背景下两江新区招商引资路径及措施</w:t>
      </w:r>
    </w:p>
    <w:p w14:paraId="31A7882D">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两江新区商业航天产业发展路径研究</w:t>
      </w:r>
    </w:p>
    <w:p w14:paraId="453957A0">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基层智治体系下地质灾害应急响应的“闭环治理”逻辑与效能转化研究</w:t>
      </w:r>
    </w:p>
    <w:p w14:paraId="2A361B0C">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固定污染源废气自行监测全过程监管的现实困境与对策研究</w:t>
      </w:r>
    </w:p>
    <w:p w14:paraId="1FD7CC48">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两江新区大型医疗设备区域共享平台建设与运行机制研究</w:t>
      </w:r>
    </w:p>
    <w:p w14:paraId="2EF38F47">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两江新区制造业地区竞争力及比较优势研究</w:t>
      </w:r>
    </w:p>
    <w:p w14:paraId="58C07F45">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两江新区人口老龄化与经济社会发展耦合协调研究</w:t>
      </w:r>
    </w:p>
    <w:p w14:paraId="5C1280AC">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两江新区“科企—高企—专精特新”梯队企业的研发投入与产出效率比较研究</w:t>
      </w:r>
    </w:p>
    <w:p w14:paraId="7319F945">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两江新区基础教育高质量发展研究</w:t>
      </w:r>
    </w:p>
    <w:p w14:paraId="2B048E74">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关于两江新区国企市场化改革的路径研究</w:t>
      </w:r>
    </w:p>
    <w:p w14:paraId="5D06DC8C">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关于科学管理两江新区平台公司债务的对策研究</w:t>
      </w:r>
    </w:p>
    <w:p w14:paraId="6271FE75">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两路果园港综合保税区国有存量资产盘活堵点与创新路径研究</w:t>
      </w:r>
    </w:p>
    <w:p w14:paraId="42EDD65B">
      <w:pPr>
        <w:keepNext w:val="0"/>
        <w:keepLines w:val="0"/>
        <w:pageBreakBefore w:val="0"/>
        <w:widowControl/>
        <w:numPr>
          <w:ilvl w:val="0"/>
          <w:numId w:val="1"/>
        </w:numPr>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方正仿宋_GBK"/>
          <w:sz w:val="32"/>
          <w:szCs w:val="32"/>
          <w:highlight w:val="none"/>
        </w:rPr>
      </w:pPr>
      <w:r>
        <w:rPr>
          <w:rFonts w:hint="eastAsia" w:ascii="Times New Roman" w:hAnsi="Times New Roman" w:eastAsia="方正仿宋_GBK"/>
          <w:sz w:val="32"/>
          <w:szCs w:val="32"/>
          <w:highlight w:val="none"/>
        </w:rPr>
        <w:t>城镇化进程中户籍地与居住地分离现象的成因及治理研究</w:t>
      </w:r>
    </w:p>
    <w:p w14:paraId="6333CE7E">
      <w:pPr>
        <w:keepNext w:val="0"/>
        <w:keepLines w:val="0"/>
        <w:pageBreakBefore w:val="0"/>
        <w:widowControl/>
        <w:kinsoku/>
        <w:wordWrap/>
        <w:overflowPunct/>
        <w:topLinePunct w:val="0"/>
        <w:autoSpaceDE/>
        <w:autoSpaceDN/>
        <w:bidi w:val="0"/>
        <w:adjustRightInd/>
        <w:snapToGrid/>
        <w:spacing w:after="0" w:line="600" w:lineRule="exact"/>
        <w:jc w:val="center"/>
        <w:textAlignment w:val="auto"/>
        <w:rPr>
          <w:rFonts w:hint="eastAsia" w:ascii="Times New Roman" w:hAnsi="Times New Roman" w:eastAsia="方正小标宋_GBK"/>
          <w:sz w:val="44"/>
          <w:szCs w:val="44"/>
          <w:highlight w:val="none"/>
        </w:rPr>
      </w:pPr>
    </w:p>
    <w:p w14:paraId="0EEA60C7">
      <w:pPr>
        <w:keepNext w:val="0"/>
        <w:keepLines w:val="0"/>
        <w:pageBreakBefore w:val="0"/>
        <w:widowControl/>
        <w:kinsoku/>
        <w:wordWrap/>
        <w:overflowPunct/>
        <w:topLinePunct w:val="0"/>
        <w:autoSpaceDE/>
        <w:autoSpaceDN/>
        <w:bidi w:val="0"/>
        <w:adjustRightInd/>
        <w:snapToGrid/>
        <w:spacing w:after="0" w:line="600" w:lineRule="exact"/>
        <w:jc w:val="center"/>
        <w:textAlignment w:val="auto"/>
        <w:rPr>
          <w:rFonts w:hint="eastAsia" w:ascii="Times New Roman" w:hAnsi="Times New Roman" w:eastAsia="方正小标宋_GBK"/>
          <w:sz w:val="44"/>
          <w:szCs w:val="44"/>
          <w:highlight w:val="none"/>
        </w:rPr>
      </w:pPr>
    </w:p>
    <w:p w14:paraId="7455C075">
      <w:pPr>
        <w:keepNext w:val="0"/>
        <w:keepLines w:val="0"/>
        <w:pageBreakBefore w:val="0"/>
        <w:widowControl/>
        <w:kinsoku/>
        <w:wordWrap/>
        <w:overflowPunct/>
        <w:topLinePunct w:val="0"/>
        <w:autoSpaceDE/>
        <w:autoSpaceDN/>
        <w:bidi w:val="0"/>
        <w:adjustRightInd/>
        <w:snapToGrid/>
        <w:spacing w:after="0" w:line="600" w:lineRule="exact"/>
        <w:jc w:val="center"/>
        <w:textAlignment w:val="auto"/>
        <w:rPr>
          <w:rFonts w:hint="eastAsia" w:ascii="Times New Roman" w:hAnsi="Times New Roman" w:eastAsia="方正小标宋_GBK"/>
          <w:sz w:val="44"/>
          <w:szCs w:val="44"/>
          <w:highlight w:val="none"/>
        </w:rPr>
      </w:pPr>
    </w:p>
    <w:p w14:paraId="43083F11"/>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C310CD"/>
    <w:multiLevelType w:val="singleLevel"/>
    <w:tmpl w:val="F0C310CD"/>
    <w:lvl w:ilvl="0" w:tentative="0">
      <w:start w:val="1"/>
      <w:numFmt w:val="decimal"/>
      <w:suff w:val="nothing"/>
      <w:lvlText w:val="%1．"/>
      <w:lvlJc w:val="left"/>
      <w:pPr>
        <w:ind w:left="0" w:firstLine="400"/>
      </w:pPr>
      <w:rPr>
        <w:rFonts w:hint="default"/>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937E86"/>
    <w:rsid w:val="62937E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680"/>
        <w:tab w:val="right" w:pos="9360"/>
      </w:tabs>
      <w:spacing w:after="0" w:line="240" w:lineRule="auto"/>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2026-09-18T01:31:00Z</dcterms:created>
  <dc:creator>茜茜</dc:creator>
  <cp:lastModifiedBy>茜茜</cp:lastModifiedBy>
  <dcterms:modified xsi:type="dcterms:W3CDTF">2026-09-18T01:31:33Z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7AA02B38F1A04BEDA3F6EED5020C7158_11</vt:lpwstr>
  </property>
  <property fmtid="{D5CDD505-2E9C-101B-9397-08002B2CF9AE}" pid="4" name="KSOTemplateDocerSaveRecord">
    <vt:lpwstr>eyJoZGlkIjoiNTM0YmI0NDhmNjNiZmNjMjljMjA3ODVlZDNjYmI1Y2QiLCJ1c2VySWQiOiIyOTk5NzQ2MDAifQ==</vt:lpwstr>
  </property>
</Properties>
</file>