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530" w:firstLineChars="700"/>
        <w:rPr>
          <w:rFonts w:ascii="Times New Roman" w:hAnsi="Times New Roman" w:cs="Times New Roman"/>
          <w:sz w:val="30"/>
          <w:szCs w:val="30"/>
        </w:rPr>
      </w:pPr>
      <w:r>
        <w:rPr>
          <w:rFonts w:ascii="Times New Roman" w:hAnsi="Times New Roman" w:cs="Times New Roman"/>
          <w:b/>
          <w:bCs/>
          <w:sz w:val="36"/>
          <w:szCs w:val="36"/>
        </w:rPr>
        <w:t>2. Learning Environment</w:t>
      </w:r>
    </w:p>
    <w:p>
      <w:pPr>
        <w:spacing w:line="440" w:lineRule="exact"/>
        <w:jc w:val="both"/>
        <w:rPr>
          <w:rFonts w:ascii="Times New Roman" w:hAnsi="Times New Roman" w:cs="Times New Roman"/>
          <w:sz w:val="24"/>
          <w:szCs w:val="24"/>
        </w:rPr>
      </w:pPr>
      <w:r>
        <w:rPr>
          <w:rFonts w:ascii="Times New Roman" w:hAnsi="Times New Roman" w:eastAsia="仿宋" w:cs="Times New Roman"/>
          <w:b/>
          <w:bCs/>
          <w:sz w:val="24"/>
          <w:szCs w:val="24"/>
          <w:shd w:val="clear" w:color="auto" w:fill="FFFFFF"/>
        </w:rPr>
        <w:t>2.1 Student Guidance and Support</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Chongqing Institute of Foreign Studies (CIFS) is located in Chongqing, one of the four municipalities under the Central Government. It attracts and nurtures students with convenient transportation, excellent supporting facilities and a wide range of employment and internship opportunities.</w:t>
      </w:r>
    </w:p>
    <w:p>
      <w:pPr>
        <w:spacing w:line="440" w:lineRule="exact"/>
        <w:jc w:val="both"/>
        <w:rPr>
          <w:rFonts w:ascii="Times New Roman" w:hAnsi="Times New Roman" w:eastAsia="仿宋" w:cs="Times New Roman"/>
          <w:b/>
          <w:bCs/>
          <w:sz w:val="24"/>
          <w:szCs w:val="24"/>
          <w:shd w:val="clear" w:color="auto" w:fill="FFFFFF"/>
        </w:rPr>
      </w:pPr>
    </w:p>
    <w:p>
      <w:pPr>
        <w:spacing w:line="440" w:lineRule="exact"/>
        <w:jc w:val="both"/>
        <w:rPr>
          <w:rFonts w:eastAsia="仿宋"/>
          <w:b/>
          <w:bCs/>
          <w:shd w:val="clear" w:color="auto" w:fill="FFFFFF"/>
        </w:rPr>
      </w:pPr>
      <w:r>
        <w:rPr>
          <w:rFonts w:ascii="Times New Roman" w:hAnsi="Times New Roman" w:eastAsia="仿宋" w:cs="Times New Roman"/>
          <w:b/>
          <w:bCs/>
          <w:sz w:val="24"/>
          <w:szCs w:val="24"/>
          <w:shd w:val="clear" w:color="auto" w:fill="FFFFFF"/>
        </w:rPr>
        <w:t>2.1.1 Campus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CIFS covers an area of more than </w:t>
      </w:r>
      <w:r>
        <w:rPr>
          <w:rFonts w:hint="default" w:ascii="Times New Roman" w:hAnsi="Times New Roman" w:eastAsia="Verdana" w:cs="Times New Roman"/>
          <w:i w:val="0"/>
          <w:iCs w:val="0"/>
          <w:caps w:val="0"/>
          <w:color w:val="000000"/>
          <w:spacing w:val="0"/>
          <w:sz w:val="24"/>
          <w:szCs w:val="24"/>
          <w:shd w:val="clear" w:fill="FFFFFF"/>
        </w:rPr>
        <w:t>255.16</w:t>
      </w:r>
      <w:r>
        <w:rPr>
          <w:rFonts w:hint="default" w:ascii="Times New Roman" w:hAnsi="Times New Roman" w:eastAsia="仿宋" w:cs="Times New Roman"/>
          <w:sz w:val="24"/>
          <w:szCs w:val="24"/>
          <w:shd w:val="clear" w:color="auto" w:fill="FFFFFF"/>
        </w:rPr>
        <w:t xml:space="preserve"> </w:t>
      </w:r>
      <w:r>
        <w:rPr>
          <w:rFonts w:ascii="Times New Roman" w:hAnsi="Times New Roman" w:eastAsia="仿宋" w:cs="Times New Roman"/>
          <w:sz w:val="24"/>
          <w:szCs w:val="24"/>
          <w:shd w:val="clear" w:color="auto" w:fill="FFFFFF"/>
        </w:rPr>
        <w:t>acres, with a building area of about 480,000 square meters. There are two campuses in CIFS, namely Yubei Campus and Qijiang Campus. The Institute has a standard track and field, gymnasium, library and other student activity places. These buildings are distributed in six areas of the campus</w:t>
      </w:r>
      <w:r>
        <w:rPr>
          <w:rFonts w:ascii="Times New Roman" w:hAnsi="Times New Roman" w:eastAsia="仿宋" w:cs="Times New Roman"/>
          <w:sz w:val="24"/>
          <w:szCs w:val="24"/>
        </w:rPr>
        <w:t xml:space="preserve"> according to their functional requirements</w:t>
      </w:r>
      <w:r>
        <w:rPr>
          <w:rFonts w:ascii="Times New Roman" w:hAnsi="Times New Roman" w:eastAsia="仿宋" w:cs="Times New Roman"/>
          <w:sz w:val="24"/>
          <w:szCs w:val="24"/>
          <w:shd w:val="clear" w:color="auto" w:fill="FFFFFF"/>
        </w:rPr>
        <w:t>, namely: teaching area, living area, sports area, central landscape area, Ecological Garden and Continuing Education School (for students to get engaged in post-secondary learning activities). The Institute has not only the cultural landscape, but also the natural landscape. It is an ecological</w:t>
      </w:r>
      <w:r>
        <w:rPr>
          <w:rFonts w:ascii="Times New Roman" w:hAnsi="Times New Roman" w:eastAsia="仿宋" w:cs="Times New Roman"/>
          <w:sz w:val="24"/>
          <w:szCs w:val="24"/>
        </w:rPr>
        <w:t xml:space="preserve"> campus that integrates the campus architecture, green fields and natural environment. The Ecological Garden provides a good ecological environment for students’ life.</w:t>
      </w:r>
    </w:p>
    <w:p>
      <w:pPr>
        <w:spacing w:line="440" w:lineRule="exact"/>
        <w:jc w:val="both"/>
        <w:rPr>
          <w:rFonts w:ascii="Times New Roman" w:hAnsi="Times New Roman" w:eastAsia="仿宋" w:cs="Times New Roman"/>
          <w:b/>
          <w:bCs/>
          <w:sz w:val="24"/>
          <w:szCs w:val="24"/>
          <w:shd w:val="clear" w:color="auto" w:fill="FFFFFF"/>
        </w:rPr>
      </w:pPr>
    </w:p>
    <w:p>
      <w:pPr>
        <w:spacing w:line="440" w:lineRule="exact"/>
        <w:jc w:val="both"/>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2.1.2 Student Accommodation</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The Institute has sufficient student dormitories to provide accommodation for students. There are</w:t>
      </w:r>
      <w:r>
        <w:rPr>
          <w:rFonts w:ascii="Times New Roman" w:hAnsi="Times New Roman" w:eastAsia="仿宋" w:cs="Times New Roman"/>
          <w:sz w:val="24"/>
          <w:szCs w:val="24"/>
          <w:highlight w:val="none"/>
          <w:shd w:val="clear" w:color="auto" w:fill="FFFFFF"/>
        </w:rPr>
        <w:t xml:space="preserve"> 20</w:t>
      </w:r>
      <w:r>
        <w:rPr>
          <w:rFonts w:ascii="Times New Roman" w:hAnsi="Times New Roman" w:eastAsia="仿宋" w:cs="Times New Roman"/>
          <w:sz w:val="24"/>
          <w:szCs w:val="24"/>
          <w:shd w:val="clear" w:color="auto" w:fill="FFFFFF"/>
        </w:rPr>
        <w:t xml:space="preserve"> student dormitories with </w:t>
      </w:r>
      <w:r>
        <w:rPr>
          <w:rFonts w:hint="eastAsia" w:ascii="仿宋" w:hAnsi="仿宋" w:eastAsia="仿宋" w:cs="仿宋"/>
          <w:sz w:val="24"/>
          <w:szCs w:val="24"/>
          <w:highlight w:val="none"/>
        </w:rPr>
        <w:t>2</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3</w:t>
      </w:r>
      <w:r>
        <w:rPr>
          <w:rFonts w:hint="eastAsia" w:ascii="仿宋" w:hAnsi="仿宋" w:eastAsia="仿宋" w:cs="仿宋"/>
          <w:sz w:val="24"/>
          <w:szCs w:val="24"/>
          <w:highlight w:val="none"/>
          <w:lang w:val="en-US" w:eastAsia="zh-CN"/>
        </w:rPr>
        <w:t>000</w:t>
      </w:r>
      <w:r>
        <w:rPr>
          <w:rFonts w:ascii="Times New Roman" w:hAnsi="Times New Roman" w:eastAsia="仿宋" w:cs="Times New Roman"/>
          <w:sz w:val="24"/>
          <w:szCs w:val="24"/>
          <w:shd w:val="clear" w:color="auto" w:fill="FFFFFF"/>
        </w:rPr>
        <w:t xml:space="preserve">beds. The student dormitory building adopts a conjoined design. Students’ dormitories are managed by the Institute aiming to provide high standard services to our students. The building is clean, bright and fresh with good lighting. Each dormitory has its own bathroom and washroom and is equipped with a water heater, air conditioning and a washing machine. The </w:t>
      </w:r>
      <w:bookmarkStart w:id="0" w:name="_Hlk75346343"/>
      <w:bookmarkEnd w:id="0"/>
      <w:r>
        <w:rPr>
          <w:rFonts w:ascii="Times New Roman" w:hAnsi="Times New Roman" w:eastAsia="仿宋" w:cs="Times New Roman"/>
          <w:sz w:val="24"/>
          <w:szCs w:val="24"/>
          <w:shd w:val="clear" w:color="auto" w:fill="FFFFFF"/>
        </w:rPr>
        <w:t>Institute provides a comfortable living environment, so that students can devote themselves to learning. If a student does not want to live in the dormitory, he/she can rent a place outside the campus.</w:t>
      </w:r>
    </w:p>
    <w:p>
      <w:pPr>
        <w:rPr>
          <w:rFonts w:ascii="Times New Roman" w:hAnsi="Times New Roman" w:eastAsia="仿宋" w:cs="Times New Roman"/>
          <w:b/>
          <w:bCs/>
          <w:sz w:val="24"/>
          <w:szCs w:val="24"/>
          <w:shd w:val="clear" w:color="auto" w:fill="FFFFFF"/>
        </w:rPr>
      </w:pPr>
    </w:p>
    <w:p>
      <w:pPr>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2.1.3 Teaching Facilities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The teaching area </w:t>
      </w:r>
      <w:r>
        <w:rPr>
          <w:rFonts w:hint="eastAsia" w:ascii="Times New Roman" w:hAnsi="Times New Roman" w:eastAsia="仿宋" w:cs="Times New Roman"/>
          <w:sz w:val="24"/>
          <w:szCs w:val="24"/>
          <w:shd w:val="clear" w:color="auto" w:fill="FFFFFF"/>
        </w:rPr>
        <w:t>covers</w:t>
      </w:r>
      <w:r>
        <w:rPr>
          <w:rFonts w:ascii="Times New Roman" w:hAnsi="Times New Roman" w:eastAsia="仿宋" w:cs="Times New Roman"/>
          <w:sz w:val="24"/>
          <w:szCs w:val="24"/>
          <w:shd w:val="clear" w:color="auto" w:fill="FFFFFF"/>
        </w:rPr>
        <w:t xml:space="preserve"> an overall area of</w:t>
      </w:r>
      <w:r>
        <w:rPr>
          <w:rFonts w:hint="eastAsia" w:ascii="Times New Roman" w:hAnsi="Times New Roman" w:eastAsia="仿宋" w:cs="Times New Roman"/>
          <w:sz w:val="24"/>
          <w:szCs w:val="24"/>
          <w:shd w:val="clear" w:color="auto" w:fill="FFFFFF"/>
          <w:lang w:val="en-US" w:eastAsia="zh-CN"/>
        </w:rPr>
        <w:t xml:space="preserve"> </w:t>
      </w:r>
      <w:r>
        <w:rPr>
          <w:rFonts w:hint="eastAsia" w:ascii="仿宋" w:hAnsi="仿宋" w:eastAsia="仿宋" w:cs="仿宋"/>
          <w:sz w:val="24"/>
          <w:szCs w:val="24"/>
          <w:highlight w:val="none"/>
          <w:lang w:val="en-US" w:eastAsia="zh-CN"/>
        </w:rPr>
        <w:t>134，372</w:t>
      </w:r>
      <w:r>
        <w:rPr>
          <w:rFonts w:ascii="Times New Roman" w:hAnsi="Times New Roman" w:eastAsia="仿宋" w:cs="Times New Roman"/>
          <w:sz w:val="24"/>
          <w:szCs w:val="24"/>
          <w:highlight w:val="none"/>
          <w:shd w:val="clear" w:color="auto" w:fill="FFFFFF"/>
        </w:rPr>
        <w:t xml:space="preserve"> </w:t>
      </w:r>
      <w:r>
        <w:rPr>
          <w:rFonts w:ascii="Times New Roman" w:hAnsi="Times New Roman" w:eastAsia="仿宋" w:cs="Times New Roman"/>
          <w:sz w:val="24"/>
          <w:szCs w:val="24"/>
          <w:shd w:val="clear" w:color="auto" w:fill="FFFFFF"/>
        </w:rPr>
        <w:t xml:space="preserve">square meters. </w:t>
      </w:r>
      <w:r>
        <w:rPr>
          <w:rFonts w:hint="eastAsia" w:ascii="Times New Roman" w:hAnsi="Times New Roman" w:eastAsia="仿宋" w:cs="Times New Roman"/>
          <w:sz w:val="24"/>
          <w:szCs w:val="24"/>
          <w:shd w:val="clear" w:color="auto" w:fill="FFFFFF"/>
        </w:rPr>
        <w:t>Apart from teaching buildings, t</w:t>
      </w:r>
      <w:r>
        <w:rPr>
          <w:rFonts w:ascii="Times New Roman" w:hAnsi="Times New Roman" w:eastAsia="仿宋" w:cs="Times New Roman"/>
          <w:sz w:val="24"/>
          <w:szCs w:val="24"/>
          <w:shd w:val="clear" w:color="auto" w:fill="FFFFFF"/>
        </w:rPr>
        <w:t xml:space="preserve">here are </w:t>
      </w:r>
      <w:r>
        <w:rPr>
          <w:rFonts w:hint="eastAsia" w:ascii="Times New Roman" w:hAnsi="Times New Roman" w:eastAsia="仿宋" w:cs="Times New Roman"/>
          <w:sz w:val="24"/>
          <w:szCs w:val="24"/>
          <w:shd w:val="clear" w:color="auto" w:fill="FFFFFF"/>
        </w:rPr>
        <w:t>8 discipline-based educational research centers</w:t>
      </w:r>
      <w:r>
        <w:rPr>
          <w:rFonts w:ascii="Times New Roman" w:hAnsi="Times New Roman" w:eastAsia="仿宋" w:cs="Times New Roman"/>
          <w:sz w:val="24"/>
          <w:szCs w:val="24"/>
          <w:shd w:val="clear" w:color="auto" w:fill="FFFFFF"/>
        </w:rPr>
        <w:t>, including:</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Demonstration Center for Digital Language Teaching</w:t>
      </w:r>
      <w:r>
        <w:rPr>
          <w:rFonts w:ascii="Times New Roman" w:hAnsi="Times New Roman" w:eastAsia="仿宋" w:cs="Times New Roman"/>
          <w:sz w:val="24"/>
          <w:szCs w:val="24"/>
          <w:shd w:val="clear" w:color="auto" w:fill="FFFFFF"/>
        </w:rPr>
        <w:t xml:space="preserve"> (</w:t>
      </w:r>
      <w:r>
        <w:rPr>
          <w:rFonts w:hint="eastAsia" w:ascii="Times New Roman" w:hAnsi="Times New Roman" w:eastAsia="仿宋" w:cs="Times New Roman"/>
          <w:sz w:val="24"/>
          <w:szCs w:val="24"/>
          <w:shd w:val="clear" w:color="auto" w:fill="FFFFFF"/>
        </w:rPr>
        <w:t>for Foreign Language majors</w:t>
      </w:r>
      <w:r>
        <w:rPr>
          <w:rFonts w:ascii="Times New Roman" w:hAnsi="Times New Roman" w:eastAsia="仿宋" w:cs="Times New Roman"/>
          <w:sz w:val="24"/>
          <w:szCs w:val="24"/>
          <w:shd w:val="clear" w:color="auto" w:fill="FFFFFF"/>
        </w:rPr>
        <w:t>)</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Comprehensive Training Center for International Economics and Trade (for International Economics and Trade, International Business Management, and Business English majors)</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Comprehensive </w:t>
      </w:r>
      <w:r>
        <w:rPr>
          <w:rFonts w:hint="eastAsia" w:ascii="Times New Roman" w:hAnsi="Times New Roman" w:eastAsia="仿宋" w:cs="Times New Roman"/>
          <w:sz w:val="24"/>
          <w:szCs w:val="24"/>
          <w:shd w:val="clear" w:color="auto" w:fill="FFFFFF"/>
        </w:rPr>
        <w:t>T</w:t>
      </w:r>
      <w:r>
        <w:rPr>
          <w:rFonts w:ascii="Times New Roman" w:hAnsi="Times New Roman" w:eastAsia="仿宋" w:cs="Times New Roman"/>
          <w:sz w:val="24"/>
          <w:szCs w:val="24"/>
          <w:shd w:val="clear" w:color="auto" w:fill="FFFFFF"/>
        </w:rPr>
        <w:t xml:space="preserve">raining </w:t>
      </w:r>
      <w:r>
        <w:rPr>
          <w:rFonts w:hint="eastAsia" w:ascii="Times New Roman" w:hAnsi="Times New Roman" w:eastAsia="仿宋" w:cs="Times New Roman"/>
          <w:sz w:val="24"/>
          <w:szCs w:val="24"/>
          <w:shd w:val="clear" w:color="auto" w:fill="FFFFFF"/>
        </w:rPr>
        <w:t>C</w:t>
      </w:r>
      <w:r>
        <w:rPr>
          <w:rFonts w:ascii="Times New Roman" w:hAnsi="Times New Roman" w:eastAsia="仿宋" w:cs="Times New Roman"/>
          <w:sz w:val="24"/>
          <w:szCs w:val="24"/>
          <w:shd w:val="clear" w:color="auto" w:fill="FFFFFF"/>
        </w:rPr>
        <w:t>enter</w:t>
      </w:r>
      <w:r>
        <w:rPr>
          <w:rFonts w:hint="eastAsia" w:ascii="Times New Roman" w:hAnsi="Times New Roman" w:eastAsia="仿宋" w:cs="Times New Roman"/>
          <w:sz w:val="24"/>
          <w:szCs w:val="24"/>
          <w:shd w:val="clear" w:color="auto" w:fill="FFFFFF"/>
        </w:rPr>
        <w:t xml:space="preserve"> for Digital Engineering Management (for Engineering Management majors)</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Training Center for Computing and Software Development</w:t>
      </w:r>
      <w:r>
        <w:rPr>
          <w:rFonts w:ascii="Times New Roman" w:hAnsi="Times New Roman" w:eastAsia="仿宋" w:cs="Times New Roman"/>
          <w:sz w:val="24"/>
          <w:szCs w:val="24"/>
          <w:shd w:val="clear" w:color="auto" w:fill="FFFFFF"/>
        </w:rPr>
        <w:t xml:space="preserve"> (</w:t>
      </w:r>
      <w:r>
        <w:rPr>
          <w:rFonts w:hint="eastAsia" w:ascii="Times New Roman" w:hAnsi="Times New Roman" w:eastAsia="仿宋" w:cs="Times New Roman"/>
          <w:sz w:val="24"/>
          <w:szCs w:val="24"/>
          <w:shd w:val="clear" w:color="auto" w:fill="FFFFFF"/>
        </w:rPr>
        <w:t>for Software Engineering, Computer Science and Technology majors</w:t>
      </w:r>
      <w:r>
        <w:rPr>
          <w:rFonts w:ascii="Times New Roman" w:hAnsi="Times New Roman" w:eastAsia="仿宋" w:cs="Times New Roman"/>
          <w:sz w:val="24"/>
          <w:szCs w:val="24"/>
          <w:shd w:val="clear" w:color="auto" w:fill="FFFFFF"/>
        </w:rPr>
        <w:t>)</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Training Center for Art Performing (for Music Performance, Music Education, and Dance Performance majors)</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Art Design Center (for Art Design, Clothing Design, Visual Communication Design, Environmental Design, and Product Design majors)</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Creation Art Center (for Painting, Art Design, and Fine Art majors)</w:t>
      </w:r>
    </w:p>
    <w:p>
      <w:pPr>
        <w:pStyle w:val="9"/>
        <w:numPr>
          <w:ilvl w:val="0"/>
          <w:numId w:val="1"/>
        </w:numPr>
        <w:spacing w:line="440" w:lineRule="exact"/>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Training Center for Intergrated Media (for Journalism and Communication, Advertising, Network and New Media, and Broadcasting and Hosting majors)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Students can study in the teaching area, attend lectures, listen to reports, take experimental (training) classes, and carry out academic exchanges and cultural and recreational activities. The teaching building is fresh in style and well arranged. Each building is connected by a corridor, which is both aesthetically beautiful and convenient for students to </w:t>
      </w:r>
      <w:r>
        <w:rPr>
          <w:rFonts w:ascii="Times New Roman" w:hAnsi="Times New Roman" w:eastAsia="仿宋" w:cs="Times New Roman"/>
          <w:sz w:val="24"/>
          <w:szCs w:val="24"/>
        </w:rPr>
        <w:t>move between buildings</w:t>
      </w:r>
      <w:r>
        <w:rPr>
          <w:rFonts w:ascii="Times New Roman" w:hAnsi="Times New Roman" w:eastAsia="仿宋" w:cs="Times New Roman"/>
          <w:sz w:val="24"/>
          <w:szCs w:val="24"/>
          <w:shd w:val="clear" w:color="auto" w:fill="FFFFFF"/>
        </w:rPr>
        <w:t>. The corridor is also wheelchair accessible, specially designed for students with mobility impairments, fully reflecting the inclusivity of the Institute.</w:t>
      </w:r>
    </w:p>
    <w:p>
      <w:pPr>
        <w:rPr>
          <w:rFonts w:ascii="Times New Roman" w:hAnsi="Times New Roman" w:eastAsia="仿宋" w:cs="Times New Roman"/>
          <w:b/>
          <w:bCs/>
          <w:sz w:val="24"/>
          <w:szCs w:val="24"/>
          <w:shd w:val="clear" w:color="auto" w:fill="FFFFFF"/>
        </w:rPr>
      </w:pPr>
    </w:p>
    <w:p>
      <w:pPr>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2.1.4 Sports Facilities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The sports area is equipped with advanced and complete facilities, including basketball, volleyball, badminton, tennis, and football fields, as well as two standard track and field sports fields. It also has indoor courts for basketball, volleyball, badminton, table tennis, roller skating, aerobics, martial arts, boxing and gymnastics.</w:t>
      </w:r>
    </w:p>
    <w:p>
      <w:pPr>
        <w:rPr>
          <w:rFonts w:ascii="Times New Roman" w:hAnsi="Times New Roman" w:eastAsia="仿宋" w:cs="Times New Roman"/>
          <w:b/>
          <w:bCs/>
          <w:sz w:val="24"/>
          <w:szCs w:val="24"/>
          <w:shd w:val="clear" w:color="auto" w:fill="FFFFFF"/>
        </w:rPr>
      </w:pPr>
    </w:p>
    <w:p>
      <w:pPr>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 xml:space="preserve">2.1.5 Digital </w:t>
      </w:r>
      <w:r>
        <w:rPr>
          <w:rFonts w:ascii="Times New Roman" w:hAnsi="Times New Roman" w:eastAsia="仿宋" w:cs="Times New Roman"/>
          <w:b/>
          <w:bCs/>
          <w:sz w:val="24"/>
          <w:szCs w:val="24"/>
        </w:rPr>
        <w:t>Facilities</w:t>
      </w:r>
    </w:p>
    <w:p>
      <w:pPr>
        <w:spacing w:line="440" w:lineRule="exact"/>
        <w:jc w:val="both"/>
        <w:rPr>
          <w:rFonts w:ascii="Times New Roman" w:hAnsi="Times New Roman" w:eastAsia="仿宋" w:cs="Times New Roman"/>
          <w:sz w:val="24"/>
          <w:szCs w:val="24"/>
        </w:rPr>
      </w:pPr>
      <w:r>
        <w:rPr>
          <w:rFonts w:ascii="Times New Roman" w:hAnsi="Times New Roman" w:eastAsia="仿宋" w:cs="Times New Roman"/>
          <w:sz w:val="24"/>
          <w:szCs w:val="24"/>
        </w:rPr>
        <w:t xml:space="preserve">In order to ensure the steady progress of campus </w:t>
      </w:r>
      <w:r>
        <w:rPr>
          <w:rFonts w:ascii="Times New Roman" w:hAnsi="Times New Roman" w:eastAsia="仿宋" w:cs="Times New Roman"/>
          <w:sz w:val="24"/>
          <w:szCs w:val="24"/>
          <w:shd w:val="clear" w:color="auto" w:fill="FFFFFF"/>
        </w:rPr>
        <w:t>infrastructure</w:t>
      </w:r>
      <w:r>
        <w:rPr>
          <w:rFonts w:ascii="Times New Roman" w:hAnsi="Times New Roman" w:eastAsia="仿宋" w:cs="Times New Roman"/>
          <w:sz w:val="24"/>
          <w:szCs w:val="24"/>
        </w:rPr>
        <w:t xml:space="preserve"> development, CIFS has successively made efforts in the construction of campus network software and hardware infrastructure and the erection of campus wireless network, with remarkable results. The Institute attaches great importance to campus informatization , and strengthens the deep integration of teaching, scientific research, management, finance, logistics and the Internet. The </w:t>
      </w:r>
      <w:r>
        <w:rPr>
          <w:rFonts w:ascii="Times New Roman" w:hAnsi="Times New Roman" w:eastAsia="仿宋" w:cs="Times New Roman"/>
          <w:sz w:val="24"/>
          <w:szCs w:val="24"/>
          <w:shd w:val="clear" w:color="auto" w:fill="FFFFFF"/>
        </w:rPr>
        <w:t>Institute</w:t>
      </w:r>
      <w:r>
        <w:rPr>
          <w:rFonts w:ascii="Times New Roman" w:hAnsi="Times New Roman" w:eastAsia="仿宋" w:cs="Times New Roman"/>
          <w:sz w:val="24"/>
          <w:szCs w:val="24"/>
        </w:rPr>
        <w:t xml:space="preserve"> has built a basic campus network platform covering the whole campus, from 10 Gigabit core to buildings, and from 100 Gigabit to desktop. It has network outlets of Telecom, Unicom, education and scientific research network operators, and the convergence switch and core switch have all realized optical fiber connection.</w:t>
      </w:r>
    </w:p>
    <w:p>
      <w:pPr>
        <w:spacing w:line="440" w:lineRule="exact"/>
        <w:jc w:val="both"/>
        <w:rPr>
          <w:rFonts w:ascii="Times New Roman" w:hAnsi="Times New Roman" w:eastAsia="仿宋" w:cs="Times New Roman"/>
          <w:sz w:val="24"/>
          <w:szCs w:val="24"/>
        </w:rPr>
      </w:pP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Institute has set up a number of application management systems, covering the office, personnel, assets, finance, students, campus life and other aspects, and has initially realized the informatization of teaching and management. Through the purchase of the Erya general education course and the Wisdom Tree learning platform, front-line teachers can make better use of the platforms to reform and innovate teaching, and use them to complete the creation of high-quality courses. With the help of these online learning platforms, students can not only complete the learning of their undergraduate online elective courses, but also broaden their online learning channels and improve their learning efficiency. At the same time, it helps to improve the level of teachers’ application of information service teaching.</w:t>
      </w:r>
    </w:p>
    <w:p>
      <w:pPr>
        <w:spacing w:line="440" w:lineRule="exact"/>
        <w:jc w:val="both"/>
        <w:rPr>
          <w:rFonts w:ascii="Times New Roman" w:hAnsi="Times New Roman" w:eastAsia="仿宋" w:cs="Times New Roman"/>
          <w:sz w:val="24"/>
          <w:szCs w:val="24"/>
          <w:shd w:val="clear" w:color="auto" w:fill="FFFFFF"/>
        </w:rPr>
      </w:pP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In order to effectively integrate students’ application resources and unify the service, the Institute has officially used an </w:t>
      </w:r>
      <w:r>
        <w:rPr>
          <w:rFonts w:ascii="Times New Roman" w:hAnsi="Times New Roman" w:eastAsia="仿宋" w:cs="Times New Roman"/>
          <w:sz w:val="24"/>
          <w:szCs w:val="24"/>
        </w:rPr>
        <w:t xml:space="preserve">integrated </w:t>
      </w:r>
      <w:r>
        <w:rPr>
          <w:rFonts w:ascii="Times New Roman" w:hAnsi="Times New Roman" w:eastAsia="仿宋" w:cs="Times New Roman"/>
          <w:sz w:val="24"/>
          <w:szCs w:val="24"/>
          <w:shd w:val="clear" w:color="auto" w:fill="FFFFFF"/>
        </w:rPr>
        <w:t xml:space="preserve">student service system. At present, </w:t>
      </w:r>
      <w:bookmarkStart w:id="1" w:name="OLE_LINK1"/>
      <w:r>
        <w:rPr>
          <w:rFonts w:ascii="Times New Roman" w:hAnsi="Times New Roman" w:eastAsia="仿宋" w:cs="Times New Roman"/>
          <w:sz w:val="24"/>
          <w:szCs w:val="24"/>
          <w:shd w:val="clear" w:color="auto" w:fill="FFFFFF"/>
        </w:rPr>
        <w:t xml:space="preserve">the </w:t>
      </w:r>
      <w:r>
        <w:rPr>
          <w:rFonts w:ascii="Times New Roman" w:hAnsi="Times New Roman" w:eastAsia="仿宋" w:cs="Times New Roman"/>
          <w:sz w:val="24"/>
          <w:szCs w:val="24"/>
        </w:rPr>
        <w:t xml:space="preserve">comprehensive </w:t>
      </w:r>
      <w:r>
        <w:rPr>
          <w:rFonts w:ascii="Times New Roman" w:hAnsi="Times New Roman" w:eastAsia="仿宋" w:cs="Times New Roman"/>
          <w:sz w:val="24"/>
          <w:szCs w:val="24"/>
          <w:shd w:val="clear" w:color="auto" w:fill="FFFFFF"/>
        </w:rPr>
        <w:t>student service system</w:t>
      </w:r>
      <w:bookmarkEnd w:id="1"/>
      <w:r>
        <w:rPr>
          <w:rFonts w:ascii="Times New Roman" w:hAnsi="Times New Roman" w:eastAsia="仿宋" w:cs="Times New Roman"/>
          <w:sz w:val="24"/>
          <w:szCs w:val="24"/>
          <w:shd w:val="clear" w:color="auto" w:fill="FFFFFF"/>
        </w:rPr>
        <w:t xml:space="preserve"> includes an online submission system, where students are able to submit assignments and receive </w:t>
      </w:r>
      <w:r>
        <w:rPr>
          <w:rFonts w:ascii="Times New Roman" w:hAnsi="Times New Roman" w:eastAsia="仿宋" w:cs="Times New Roman"/>
          <w:sz w:val="24"/>
          <w:szCs w:val="24"/>
        </w:rPr>
        <w:t>feedback</w:t>
      </w:r>
      <w:r>
        <w:rPr>
          <w:rFonts w:ascii="Times New Roman" w:hAnsi="Times New Roman" w:eastAsia="仿宋" w:cs="Times New Roman"/>
          <w:sz w:val="24"/>
          <w:szCs w:val="24"/>
          <w:shd w:val="clear" w:color="auto" w:fill="FFFFFF"/>
        </w:rPr>
        <w:t xml:space="preserve">, and an online system to record and approve students’ leaves, where students can ask for leave and class counselors can review and confirm students’ leaves. At the same time, when students ask for leave on the platform, they can select the leave type and set the leave duration according to their own situation. The </w:t>
      </w:r>
      <w:r>
        <w:rPr>
          <w:rFonts w:ascii="Times New Roman" w:hAnsi="Times New Roman" w:eastAsia="仿宋" w:cs="Times New Roman"/>
          <w:sz w:val="24"/>
          <w:szCs w:val="24"/>
        </w:rPr>
        <w:t xml:space="preserve">comprehensive </w:t>
      </w:r>
      <w:r>
        <w:rPr>
          <w:rFonts w:ascii="Times New Roman" w:hAnsi="Times New Roman" w:eastAsia="仿宋" w:cs="Times New Roman"/>
          <w:sz w:val="24"/>
          <w:szCs w:val="24"/>
          <w:shd w:val="clear" w:color="auto" w:fill="FFFFFF"/>
        </w:rPr>
        <w:t xml:space="preserve">student service system also includes physical examination and medical insurance, </w:t>
      </w:r>
      <w:r>
        <w:rPr>
          <w:rFonts w:ascii="Times New Roman" w:hAnsi="Times New Roman" w:eastAsia="仿宋" w:cs="Times New Roman"/>
          <w:sz w:val="24"/>
          <w:szCs w:val="24"/>
        </w:rPr>
        <w:t xml:space="preserve">comprehensive </w:t>
      </w:r>
      <w:r>
        <w:rPr>
          <w:rFonts w:ascii="Times New Roman" w:hAnsi="Times New Roman" w:eastAsia="仿宋" w:cs="Times New Roman"/>
          <w:sz w:val="24"/>
          <w:szCs w:val="24"/>
          <w:shd w:val="clear" w:color="auto" w:fill="FFFFFF"/>
        </w:rPr>
        <w:t xml:space="preserve">student quality evaluation, counselor management, scholarship management. </w:t>
      </w:r>
    </w:p>
    <w:p>
      <w:pPr>
        <w:spacing w:line="440" w:lineRule="exact"/>
        <w:jc w:val="both"/>
        <w:rPr>
          <w:rFonts w:ascii="Times New Roman" w:hAnsi="Times New Roman" w:eastAsia="仿宋" w:cs="Times New Roman"/>
          <w:b/>
          <w:bCs/>
          <w:sz w:val="24"/>
          <w:szCs w:val="24"/>
        </w:rPr>
      </w:pPr>
    </w:p>
    <w:p>
      <w:pPr>
        <w:spacing w:line="440" w:lineRule="exact"/>
        <w:jc w:val="both"/>
        <w:rPr>
          <w:rFonts w:ascii="Times New Roman" w:hAnsi="Times New Roman" w:eastAsia="仿宋" w:cs="Times New Roman"/>
          <w:b/>
          <w:bCs/>
          <w:sz w:val="24"/>
          <w:szCs w:val="24"/>
        </w:rPr>
      </w:pPr>
      <w:r>
        <w:rPr>
          <w:rFonts w:ascii="Times New Roman" w:hAnsi="Times New Roman" w:eastAsia="仿宋" w:cs="Times New Roman"/>
          <w:b/>
          <w:bCs/>
          <w:sz w:val="24"/>
          <w:szCs w:val="24"/>
        </w:rPr>
        <w:t>2.1.6 Library Facilities and Services</w:t>
      </w:r>
    </w:p>
    <w:p>
      <w:pPr>
        <w:spacing w:line="440" w:lineRule="exact"/>
        <w:jc w:val="both"/>
        <w:rPr>
          <w:rFonts w:ascii="Times New Roman" w:hAnsi="Times New Roman" w:eastAsia="仿宋" w:cs="Times New Roman"/>
          <w:sz w:val="24"/>
          <w:szCs w:val="24"/>
        </w:rPr>
      </w:pPr>
      <w:r>
        <w:rPr>
          <w:rFonts w:ascii="Times New Roman" w:hAnsi="Times New Roman" w:eastAsia="仿宋" w:cs="Times New Roman"/>
          <w:sz w:val="24"/>
          <w:szCs w:val="24"/>
        </w:rPr>
        <w:t>The u</w:t>
      </w:r>
      <w:r>
        <w:rPr>
          <w:rFonts w:ascii="Times New Roman" w:hAnsi="Times New Roman" w:eastAsia="仿宋" w:cs="Times New Roman"/>
          <w:sz w:val="24"/>
          <w:szCs w:val="24"/>
          <w:shd w:val="clear" w:color="auto" w:fill="FFFFFF"/>
        </w:rPr>
        <w:t>niversity</w:t>
      </w:r>
      <w:r>
        <w:rPr>
          <w:rFonts w:ascii="Times New Roman" w:hAnsi="Times New Roman" w:eastAsia="仿宋" w:cs="Times New Roman"/>
          <w:sz w:val="24"/>
          <w:szCs w:val="24"/>
        </w:rPr>
        <w:t xml:space="preserve"> library covers an area of </w:t>
      </w:r>
      <w:r>
        <w:rPr>
          <w:rFonts w:hint="eastAsia" w:ascii="Times New Roman" w:hAnsi="Times New Roman" w:eastAsia="仿宋" w:cs="Times New Roman"/>
          <w:sz w:val="24"/>
          <w:szCs w:val="24"/>
          <w:highlight w:val="none"/>
          <w:lang w:val="en-US" w:eastAsia="zh-CN"/>
        </w:rPr>
        <w:t>40，000</w:t>
      </w:r>
      <w:r>
        <w:rPr>
          <w:rFonts w:ascii="Times New Roman" w:hAnsi="Times New Roman" w:eastAsia="仿宋" w:cs="Times New Roman"/>
          <w:sz w:val="24"/>
          <w:szCs w:val="24"/>
          <w:highlight w:val="none"/>
        </w:rPr>
        <w:t xml:space="preserve"> </w:t>
      </w:r>
      <w:r>
        <w:rPr>
          <w:rFonts w:ascii="Times New Roman" w:hAnsi="Times New Roman" w:eastAsia="仿宋" w:cs="Times New Roman"/>
          <w:sz w:val="24"/>
          <w:szCs w:val="24"/>
        </w:rPr>
        <w:t>square meters, with a total of 1,900,000 paper books and 1,500,000 e-books. The Institute has formulated measures for the management of the library of CIFS to ensure a goo</w:t>
      </w:r>
      <w:bookmarkStart w:id="5" w:name="_GoBack"/>
      <w:bookmarkEnd w:id="5"/>
      <w:r>
        <w:rPr>
          <w:rFonts w:ascii="Times New Roman" w:hAnsi="Times New Roman" w:eastAsia="仿宋" w:cs="Times New Roman"/>
          <w:sz w:val="24"/>
          <w:szCs w:val="24"/>
        </w:rPr>
        <w:t>d learning environment and set up rules and regulations for the management of book lending to ensure the integrity of library resources. The library provides a total of 3,600 seats for students. The opening hours of the library are from 8:00 a.m. to 22:00 p.m. from Monday to Sunday. In addition, the library delivers a Literature Retrieval course for students, which is a compulsory public basic course. It focuses on how to retrieve learning materials and scientific research literature from databases and aims to improve students’ scientific research ability.</w:t>
      </w: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cs="Times New Roman"/>
          <w:b/>
          <w:sz w:val="24"/>
          <w:szCs w:val="24"/>
        </w:rPr>
      </w:pPr>
      <w:r>
        <w:rPr>
          <w:rFonts w:ascii="Times New Roman" w:hAnsi="Times New Roman" w:eastAsia="仿宋" w:cs="Times New Roman"/>
          <w:b/>
          <w:sz w:val="24"/>
          <w:szCs w:val="24"/>
          <w:shd w:val="clear" w:color="auto" w:fill="FFFFFF"/>
        </w:rPr>
        <w:t>2.1.7 Curriculum Resources and Academic Guidance</w:t>
      </w:r>
    </w:p>
    <w:p>
      <w:pPr>
        <w:spacing w:line="440" w:lineRule="exact"/>
        <w:jc w:val="both"/>
        <w:rPr>
          <w:rFonts w:ascii="Times New Roman" w:hAnsi="Times New Roman" w:eastAsia="仿宋" w:cs="Times New Roman"/>
          <w:sz w:val="24"/>
          <w:szCs w:val="24"/>
          <w:shd w:val="clear" w:color="auto" w:fill="FFFFFF"/>
        </w:rPr>
      </w:pPr>
      <w:bookmarkStart w:id="2" w:name="OLE_LINK4"/>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Institute</w:t>
      </w:r>
      <w:bookmarkEnd w:id="2"/>
      <w:r>
        <w:rPr>
          <w:rFonts w:ascii="Times New Roman" w:hAnsi="Times New Roman" w:eastAsia="仿宋" w:cs="Times New Roman"/>
          <w:sz w:val="24"/>
          <w:szCs w:val="24"/>
          <w:shd w:val="clear" w:color="auto" w:fill="FFFFFF"/>
        </w:rPr>
        <w:t xml:space="preserve"> is equipped with relevant resources for students’ academic guidance, such as graduation thesis guidance, innovation education, entrepreneurship education, career planning, employment guidance, entrance education and military training, physical and mental health education and other related compulsory courses, which enrich students’ academic guidance outside their majors. A wealth of online elective courses are available for students to choose from. These elective courses are online courses aligned with national or provincial frameworks, enriching students’ extracurricular self-study. The Institute regularly conducts public lecturers related to topics such as "mental health education, anti-fraud, and AIDS prevention" to give students relevant guidance.</w:t>
      </w: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r>
        <w:rPr>
          <w:rFonts w:ascii="Times New Roman" w:hAnsi="Times New Roman" w:eastAsia="仿宋" w:cs="Times New Roman"/>
          <w:b/>
          <w:sz w:val="24"/>
          <w:szCs w:val="24"/>
          <w:shd w:val="clear" w:color="auto" w:fill="FFFFFF"/>
        </w:rPr>
        <w:t xml:space="preserve">2.1.8 </w:t>
      </w:r>
      <w:r>
        <w:rPr>
          <w:rFonts w:hint="eastAsia" w:ascii="Times New Roman" w:hAnsi="Times New Roman" w:eastAsia="仿宋" w:cs="Times New Roman"/>
          <w:b/>
          <w:sz w:val="24"/>
          <w:szCs w:val="24"/>
          <w:shd w:val="clear" w:color="auto" w:fill="FFFFFF"/>
        </w:rPr>
        <w:t>International Programs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 xml:space="preserve">Institute has a global perspective. In order to respond to the increasing complexities of globalization, </w:t>
      </w: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 xml:space="preserve">Institute will build on its success by cultivating a global mindset among its students. </w:t>
      </w: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Institute will provide an international experience for students. This will include deepening our exceptional international research and teaching partnerships, refining our curricula in the light of new global demands, and providing appropriate mobility opportunities for students. Some of the programs are presented here:</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0"/>
        <w:gridCol w:w="3107"/>
        <w:gridCol w:w="3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b/>
                <w:bCs/>
                <w:sz w:val="18"/>
                <w:szCs w:val="18"/>
              </w:rPr>
            </w:pPr>
            <w:r>
              <w:rPr>
                <w:rFonts w:ascii="Times New Roman" w:hAnsi="Times New Roman" w:cs="Times New Roman"/>
                <w:b/>
                <w:bCs/>
                <w:sz w:val="18"/>
                <w:szCs w:val="18"/>
              </w:rPr>
              <w:t>Major</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b/>
                <w:bCs/>
                <w:sz w:val="18"/>
                <w:szCs w:val="18"/>
              </w:rPr>
            </w:pPr>
            <w:r>
              <w:rPr>
                <w:rFonts w:ascii="Times New Roman" w:hAnsi="Times New Roman" w:cs="Times New Roman"/>
                <w:b/>
                <w:bCs/>
                <w:sz w:val="18"/>
                <w:szCs w:val="18"/>
              </w:rPr>
              <w:t>Models of cooperation</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b/>
                <w:bCs/>
                <w:sz w:val="18"/>
                <w:szCs w:val="18"/>
              </w:rPr>
            </w:pPr>
            <w:r>
              <w:rPr>
                <w:rFonts w:ascii="Times New Roman" w:hAnsi="Times New Roman" w:cs="Times New Roman"/>
                <w:b/>
                <w:bCs/>
                <w:sz w:val="18"/>
                <w:szCs w:val="18"/>
              </w:rPr>
              <w:t>Partner Universities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20"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English/</w:t>
            </w:r>
          </w:p>
          <w:p>
            <w:pPr>
              <w:ind w:firstLine="360"/>
              <w:jc w:val="center"/>
              <w:rPr>
                <w:rFonts w:ascii="Times New Roman" w:hAnsi="Times New Roman" w:cs="Times New Roman"/>
                <w:sz w:val="18"/>
                <w:szCs w:val="18"/>
              </w:rPr>
            </w:pPr>
            <w:r>
              <w:rPr>
                <w:rFonts w:ascii="Times New Roman" w:hAnsi="Times New Roman" w:cs="Times New Roman"/>
                <w:sz w:val="18"/>
                <w:szCs w:val="18"/>
              </w:rPr>
              <w:t>Economics</w:t>
            </w:r>
          </w:p>
          <w:p>
            <w:pPr>
              <w:ind w:firstLine="360"/>
              <w:jc w:val="center"/>
              <w:rPr>
                <w:rFonts w:ascii="Times New Roman" w:hAnsi="Times New Roman" w:cs="Times New Roman"/>
                <w:sz w:val="18"/>
                <w:szCs w:val="18"/>
              </w:rPr>
            </w:pPr>
            <w:r>
              <w:rPr>
                <w:rFonts w:ascii="Times New Roman" w:hAnsi="Times New Roman" w:cs="Times New Roman"/>
                <w:sz w:val="18"/>
                <w:szCs w:val="18"/>
              </w:rPr>
              <w:t>Management/</w:t>
            </w:r>
          </w:p>
          <w:p>
            <w:pPr>
              <w:ind w:firstLine="360"/>
              <w:jc w:val="center"/>
              <w:rPr>
                <w:rFonts w:ascii="Times New Roman" w:hAnsi="Times New Roman" w:cs="Times New Roman"/>
                <w:sz w:val="18"/>
                <w:szCs w:val="18"/>
              </w:rPr>
            </w:pPr>
            <w:r>
              <w:rPr>
                <w:rFonts w:ascii="Times New Roman" w:hAnsi="Times New Roman" w:cs="Times New Roman"/>
                <w:sz w:val="18"/>
                <w:szCs w:val="18"/>
              </w:rPr>
              <w:t>Journalism and Communication</w:t>
            </w:r>
          </w:p>
        </w:tc>
        <w:tc>
          <w:tcPr>
            <w:tcW w:w="3107"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3+1 Bachelor’s-Master’s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Richmond The American International Institute in London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Derby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Keele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Aberdeen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3+M Bachelor’s-Master's Program</w:t>
            </w:r>
          </w:p>
          <w:p>
            <w:pPr>
              <w:ind w:firstLine="360"/>
              <w:jc w:val="center"/>
              <w:rPr>
                <w:rFonts w:ascii="Times New Roman" w:hAnsi="Times New Roman" w:cs="Times New Roman"/>
                <w:sz w:val="18"/>
                <w:szCs w:val="18"/>
              </w:rPr>
            </w:pPr>
            <w:r>
              <w:rPr>
                <w:rFonts w:ascii="Times New Roman" w:hAnsi="Times New Roman" w:cs="Times New Roman"/>
                <w:sz w:val="18"/>
                <w:szCs w:val="18"/>
              </w:rPr>
              <w:t>0+1 Master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King's Own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kern w:val="2"/>
                <w:sz w:val="18"/>
                <w:szCs w:val="18"/>
              </w:rPr>
            </w:pPr>
            <w:r>
              <w:rPr>
                <w:rFonts w:ascii="Times New Roman" w:hAnsi="Times New Roman" w:cs="Times New Roman"/>
                <w:sz w:val="18"/>
                <w:szCs w:val="18"/>
              </w:rPr>
              <w:t>3+1+1 Bachelor’s-Master’s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East Anglia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Bachelor’s-Master’s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Institute Canada West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3.5+0.5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1-term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Edith Cowan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3+1+1 Bachelor’s-Master’s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East Anglia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Summer Holiday Program</w:t>
            </w:r>
          </w:p>
          <w:p>
            <w:pPr>
              <w:ind w:firstLine="360"/>
              <w:jc w:val="center"/>
              <w:rPr>
                <w:rFonts w:ascii="Times New Roman" w:hAnsi="Times New Roman" w:cs="Times New Roman"/>
                <w:b/>
                <w:color w:val="FF0000"/>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Palacky Institute Olomouc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6-month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Chiang Mai Institute</w:t>
            </w:r>
          </w:p>
          <w:p>
            <w:pPr>
              <w:ind w:firstLine="360"/>
              <w:jc w:val="center"/>
              <w:rPr>
                <w:rFonts w:ascii="Times New Roman" w:hAnsi="Times New Roman" w:cs="Times New Roman"/>
                <w:color w:val="FF0000"/>
                <w:sz w:val="18"/>
                <w:szCs w:val="18"/>
              </w:rPr>
            </w:pPr>
            <w:r>
              <w:rPr>
                <w:rFonts w:ascii="Times New Roman" w:hAnsi="Times New Roman" w:cs="Times New Roman"/>
                <w:color w:val="333333"/>
                <w:sz w:val="21"/>
                <w:szCs w:val="21"/>
                <w:shd w:val="clear" w:color="auto" w:fill="FFFFFF"/>
              </w:rPr>
              <w:t>Huachiew Chalermprakiet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20"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000000"/>
                <w:sz w:val="18"/>
                <w:szCs w:val="18"/>
              </w:rPr>
              <w:t>Spanish</w:t>
            </w:r>
          </w:p>
        </w:tc>
        <w:tc>
          <w:tcPr>
            <w:tcW w:w="3107"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Bachelors-Masters International</w:t>
            </w:r>
          </w:p>
          <w:p>
            <w:pPr>
              <w:ind w:firstLine="360"/>
              <w:jc w:val="center"/>
              <w:rPr>
                <w:rFonts w:ascii="Times New Roman" w:hAnsi="Times New Roman" w:cs="Times New Roman"/>
                <w:sz w:val="18"/>
                <w:szCs w:val="18"/>
              </w:rPr>
            </w:pPr>
            <w:r>
              <w:rPr>
                <w:rFonts w:ascii="Times New Roman" w:hAnsi="Times New Roman" w:cs="Times New Roman"/>
                <w:sz w:val="18"/>
                <w:szCs w:val="18"/>
              </w:rPr>
              <w:t>2+3 Bachelor’s-Master’s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Universidad Complutense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King Juan Carlos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Spain Malaga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Valladolid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German</w:t>
            </w:r>
          </w:p>
        </w:tc>
        <w:tc>
          <w:tcPr>
            <w:tcW w:w="3107" w:type="dxa"/>
            <w:tcBorders>
              <w:top w:val="single" w:color="auto" w:sz="4" w:space="0"/>
              <w:left w:val="single" w:color="auto" w:sz="4" w:space="0"/>
              <w:bottom w:val="single" w:color="auto" w:sz="4" w:space="0"/>
              <w:right w:val="single" w:color="auto" w:sz="4" w:space="0"/>
            </w:tcBorders>
            <w:vAlign w:val="center"/>
          </w:tcPr>
          <w:p>
            <w:pPr>
              <w:ind w:left="720"/>
              <w:contextualSpacing/>
              <w:jc w:val="center"/>
              <w:rPr>
                <w:rFonts w:ascii="Times New Roman" w:hAnsi="Times New Roman" w:cs="Times New Roman"/>
                <w:sz w:val="18"/>
                <w:szCs w:val="18"/>
              </w:rPr>
            </w:pPr>
            <w:r>
              <w:rPr>
                <w:rFonts w:ascii="Times New Roman" w:hAnsi="Times New Roman" w:cs="Times New Roman"/>
                <w:sz w:val="18"/>
                <w:szCs w:val="18"/>
              </w:rPr>
              <w:t>2+2 Combined Degrees</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Palacky Institute Olomouc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Russian</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Institute of Nizhni Novgorod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Italian</w:t>
            </w:r>
          </w:p>
          <w:p>
            <w:pPr>
              <w:ind w:firstLine="360"/>
              <w:jc w:val="center"/>
              <w:rPr>
                <w:rFonts w:ascii="Times New Roman" w:hAnsi="Times New Roman" w:cs="Times New Roman"/>
                <w:sz w:val="18"/>
                <w:szCs w:val="18"/>
              </w:rPr>
            </w:pPr>
            <w:r>
              <w:rPr>
                <w:rFonts w:ascii="Times New Roman" w:hAnsi="Times New Roman" w:cs="Times New Roman"/>
                <w:sz w:val="18"/>
                <w:szCs w:val="18"/>
              </w:rPr>
              <w:t>Japanese</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3-month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1.5-year Exchange Program</w:t>
            </w:r>
          </w:p>
          <w:p>
            <w:pPr>
              <w:ind w:firstLine="360"/>
              <w:jc w:val="center"/>
              <w:rPr>
                <w:rFonts w:ascii="Times New Roman" w:hAnsi="Times New Roman" w:cs="Times New Roman"/>
                <w:bCs/>
                <w:sz w:val="18"/>
                <w:szCs w:val="18"/>
              </w:rPr>
            </w:pPr>
            <w:r>
              <w:rPr>
                <w:rFonts w:ascii="Times New Roman" w:hAnsi="Times New Roman" w:cs="Times New Roman"/>
                <w:sz w:val="18"/>
                <w:szCs w:val="18"/>
              </w:rPr>
              <w:t>Winter Holiday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Institute of Perugia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20"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Italian</w:t>
            </w:r>
          </w:p>
          <w:p>
            <w:pPr>
              <w:ind w:firstLine="360"/>
              <w:jc w:val="center"/>
              <w:rPr>
                <w:rFonts w:ascii="Times New Roman" w:hAnsi="Times New Roman" w:cs="Times New Roman"/>
                <w:sz w:val="18"/>
                <w:szCs w:val="18"/>
              </w:rPr>
            </w:pPr>
            <w:r>
              <w:rPr>
                <w:rFonts w:ascii="Times New Roman" w:hAnsi="Times New Roman" w:cs="Times New Roman"/>
                <w:sz w:val="18"/>
                <w:szCs w:val="18"/>
              </w:rPr>
              <w:t>Japanese</w:t>
            </w:r>
          </w:p>
          <w:p>
            <w:pPr>
              <w:ind w:firstLine="360"/>
              <w:jc w:val="center"/>
              <w:rPr>
                <w:rFonts w:ascii="Times New Roman" w:hAnsi="Times New Roman" w:cs="Times New Roman"/>
                <w:sz w:val="18"/>
                <w:szCs w:val="18"/>
              </w:rPr>
            </w:pPr>
            <w:r>
              <w:rPr>
                <w:rFonts w:ascii="Times New Roman" w:hAnsi="Times New Roman" w:cs="Times New Roman"/>
                <w:sz w:val="18"/>
                <w:szCs w:val="18"/>
              </w:rPr>
              <w:t>Thai</w:t>
            </w:r>
          </w:p>
        </w:tc>
        <w:tc>
          <w:tcPr>
            <w:tcW w:w="3107"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3-month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1.5-year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Winter Holiday Program</w:t>
            </w:r>
          </w:p>
          <w:p>
            <w:pPr>
              <w:ind w:firstLine="360"/>
              <w:jc w:val="center"/>
              <w:rPr>
                <w:rFonts w:ascii="Times New Roman" w:hAnsi="Times New Roman" w:cs="Times New Roman"/>
                <w:sz w:val="18"/>
                <w:szCs w:val="18"/>
              </w:rPr>
            </w:pPr>
            <w:r>
              <w:rPr>
                <w:rFonts w:ascii="Times New Roman" w:hAnsi="Times New Roman" w:cs="Times New Roman"/>
                <w:sz w:val="18"/>
                <w:szCs w:val="18"/>
              </w:rPr>
              <w:t>Bachelor’s-Master’s Program</w:t>
            </w:r>
          </w:p>
          <w:p>
            <w:pPr>
              <w:ind w:firstLine="360"/>
              <w:jc w:val="center"/>
              <w:rPr>
                <w:rFonts w:ascii="Times New Roman" w:hAnsi="Times New Roman" w:cs="Times New Roman"/>
                <w:sz w:val="18"/>
                <w:szCs w:val="18"/>
              </w:rPr>
            </w:pPr>
            <w:r>
              <w:rPr>
                <w:rFonts w:ascii="Times New Roman" w:hAnsi="Times New Roman" w:cs="Times New Roman"/>
                <w:sz w:val="18"/>
                <w:szCs w:val="18"/>
              </w:rPr>
              <w:t>6-month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Daiwa Academy Japanese language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color w:val="333333"/>
                <w:sz w:val="21"/>
                <w:szCs w:val="21"/>
                <w:shd w:val="clear" w:color="auto" w:fill="FFFFFF"/>
              </w:rPr>
            </w:pPr>
            <w:r>
              <w:rPr>
                <w:rFonts w:ascii="Times New Roman" w:hAnsi="Times New Roman" w:cs="Times New Roman"/>
                <w:color w:val="333333"/>
                <w:sz w:val="21"/>
                <w:szCs w:val="21"/>
                <w:shd w:val="clear" w:color="auto" w:fill="FFFFFF"/>
              </w:rPr>
              <w:t>Chiang Mai Institute</w:t>
            </w:r>
          </w:p>
          <w:p>
            <w:pPr>
              <w:ind w:firstLine="360"/>
              <w:jc w:val="center"/>
              <w:rPr>
                <w:rFonts w:ascii="Times New Roman" w:hAnsi="Times New Roman" w:cs="Times New Roman"/>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Thai</w:t>
            </w:r>
          </w:p>
          <w:p>
            <w:pPr>
              <w:ind w:firstLine="360"/>
              <w:jc w:val="center"/>
              <w:rPr>
                <w:rFonts w:ascii="Times New Roman" w:hAnsi="Times New Roman" w:cs="Times New Roman"/>
                <w:sz w:val="18"/>
                <w:szCs w:val="18"/>
              </w:rPr>
            </w:pPr>
            <w:r>
              <w:rPr>
                <w:rFonts w:ascii="Times New Roman" w:hAnsi="Times New Roman" w:cs="Times New Roman"/>
                <w:sz w:val="18"/>
                <w:szCs w:val="18"/>
              </w:rPr>
              <w:t>Korean</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Bachelor’s-Master’s Program</w:t>
            </w:r>
          </w:p>
          <w:p>
            <w:pPr>
              <w:ind w:firstLine="360"/>
              <w:jc w:val="center"/>
              <w:rPr>
                <w:rFonts w:ascii="Times New Roman" w:hAnsi="Times New Roman" w:cs="Times New Roman"/>
                <w:sz w:val="18"/>
                <w:szCs w:val="18"/>
              </w:rPr>
            </w:pPr>
            <w:r>
              <w:rPr>
                <w:rFonts w:ascii="Times New Roman" w:hAnsi="Times New Roman" w:cs="Times New Roman"/>
                <w:sz w:val="18"/>
                <w:szCs w:val="18"/>
              </w:rPr>
              <w:t>6-month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2+2 Combined Degrees</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Huachiew Chalermprakiet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820"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Thai</w:t>
            </w:r>
          </w:p>
          <w:p>
            <w:pPr>
              <w:ind w:firstLine="360"/>
              <w:jc w:val="center"/>
              <w:rPr>
                <w:rFonts w:ascii="Times New Roman" w:hAnsi="Times New Roman" w:cs="Times New Roman"/>
                <w:sz w:val="18"/>
                <w:szCs w:val="18"/>
              </w:rPr>
            </w:pPr>
            <w:r>
              <w:rPr>
                <w:rFonts w:ascii="Times New Roman" w:hAnsi="Times New Roman" w:cs="Times New Roman"/>
                <w:sz w:val="18"/>
                <w:szCs w:val="18"/>
              </w:rPr>
              <w:t>Korean</w:t>
            </w:r>
          </w:p>
          <w:p>
            <w:pPr>
              <w:ind w:firstLine="360"/>
              <w:jc w:val="center"/>
              <w:rPr>
                <w:rFonts w:ascii="Times New Roman" w:hAnsi="Times New Roman" w:cs="Times New Roman"/>
                <w:sz w:val="18"/>
                <w:szCs w:val="18"/>
              </w:rPr>
            </w:pPr>
            <w:r>
              <w:rPr>
                <w:rFonts w:ascii="Times New Roman" w:hAnsi="Times New Roman" w:cs="Times New Roman"/>
                <w:sz w:val="18"/>
                <w:szCs w:val="18"/>
              </w:rPr>
              <w:t>Arabian</w:t>
            </w:r>
          </w:p>
        </w:tc>
        <w:tc>
          <w:tcPr>
            <w:tcW w:w="3107" w:type="dxa"/>
            <w:vMerge w:val="restart"/>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Bachelor’s-Master’s Program</w:t>
            </w:r>
          </w:p>
          <w:p>
            <w:pPr>
              <w:ind w:firstLine="360"/>
              <w:jc w:val="center"/>
              <w:rPr>
                <w:rFonts w:ascii="Times New Roman" w:hAnsi="Times New Roman" w:cs="Times New Roman"/>
                <w:sz w:val="18"/>
                <w:szCs w:val="18"/>
              </w:rPr>
            </w:pPr>
            <w:r>
              <w:rPr>
                <w:rFonts w:ascii="Times New Roman" w:hAnsi="Times New Roman" w:cs="Times New Roman"/>
                <w:sz w:val="18"/>
                <w:szCs w:val="18"/>
              </w:rPr>
              <w:t>6-month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2+2 Combined Degrees</w:t>
            </w:r>
          </w:p>
          <w:p>
            <w:pPr>
              <w:ind w:firstLine="360"/>
              <w:jc w:val="center"/>
              <w:rPr>
                <w:rFonts w:ascii="Times New Roman" w:hAnsi="Times New Roman" w:cs="Times New Roman"/>
                <w:sz w:val="18"/>
                <w:szCs w:val="18"/>
              </w:rPr>
            </w:pPr>
            <w:r>
              <w:rPr>
                <w:rFonts w:ascii="Times New Roman" w:hAnsi="Times New Roman" w:cs="Times New Roman"/>
                <w:sz w:val="18"/>
                <w:szCs w:val="18"/>
              </w:rPr>
              <w:t>3-month Exchange Program</w:t>
            </w:r>
          </w:p>
          <w:p>
            <w:pPr>
              <w:ind w:firstLine="360"/>
              <w:jc w:val="center"/>
              <w:rPr>
                <w:rFonts w:ascii="Times New Roman" w:hAnsi="Times New Roman" w:cs="Times New Roman"/>
                <w:sz w:val="18"/>
                <w:szCs w:val="18"/>
              </w:rPr>
            </w:pPr>
            <w:r>
              <w:rPr>
                <w:rFonts w:ascii="Times New Roman" w:hAnsi="Times New Roman" w:cs="Times New Roman"/>
                <w:sz w:val="18"/>
                <w:szCs w:val="18"/>
              </w:rPr>
              <w:t>1-year Exchange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Honam Institute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820" w:type="dxa"/>
            <w:vMerge w:val="continue"/>
            <w:vAlign w:val="center"/>
          </w:tcPr>
          <w:p>
            <w:pPr>
              <w:ind w:firstLine="360"/>
              <w:jc w:val="center"/>
              <w:rPr>
                <w:rFonts w:ascii="Times New Roman" w:hAnsi="Times New Roman" w:cs="Times New Roman"/>
                <w:sz w:val="18"/>
                <w:szCs w:val="18"/>
              </w:rPr>
            </w:pPr>
          </w:p>
        </w:tc>
        <w:tc>
          <w:tcPr>
            <w:tcW w:w="3107" w:type="dxa"/>
            <w:vMerge w:val="continue"/>
            <w:vAlign w:val="center"/>
          </w:tcPr>
          <w:p>
            <w:pPr>
              <w:ind w:firstLine="360"/>
              <w:jc w:val="center"/>
              <w:rPr>
                <w:rFonts w:ascii="Times New Roman" w:hAnsi="Times New Roman" w:cs="Times New Roman"/>
                <w:sz w:val="18"/>
                <w:szCs w:val="18"/>
              </w:rPr>
            </w:pP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Pharos Institute in Alexandria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Music</w:t>
            </w:r>
          </w:p>
          <w:p>
            <w:pPr>
              <w:ind w:firstLine="360"/>
              <w:jc w:val="center"/>
              <w:rPr>
                <w:rFonts w:ascii="Times New Roman" w:hAnsi="Times New Roman" w:cs="Times New Roman"/>
                <w:sz w:val="18"/>
                <w:szCs w:val="18"/>
              </w:rPr>
            </w:pPr>
            <w:r>
              <w:rPr>
                <w:rFonts w:ascii="Times New Roman" w:hAnsi="Times New Roman" w:cs="Times New Roman"/>
                <w:sz w:val="18"/>
                <w:szCs w:val="18"/>
              </w:rPr>
              <w:t>Musical Performance</w:t>
            </w:r>
          </w:p>
          <w:p>
            <w:pPr>
              <w:ind w:firstLine="360"/>
              <w:jc w:val="center"/>
              <w:rPr>
                <w:rFonts w:ascii="Times New Roman" w:hAnsi="Times New Roman" w:cs="Times New Roman"/>
                <w:sz w:val="18"/>
                <w:szCs w:val="18"/>
              </w:rPr>
            </w:pPr>
            <w:r>
              <w:rPr>
                <w:rFonts w:ascii="Times New Roman" w:hAnsi="Times New Roman" w:cs="Times New Roman"/>
                <w:sz w:val="18"/>
                <w:szCs w:val="18"/>
              </w:rPr>
              <w:t>Dance Performance</w:t>
            </w:r>
          </w:p>
          <w:p>
            <w:pPr>
              <w:ind w:firstLine="360"/>
              <w:jc w:val="center"/>
              <w:rPr>
                <w:rFonts w:ascii="Times New Roman" w:hAnsi="Times New Roman" w:cs="Times New Roman"/>
                <w:sz w:val="18"/>
                <w:szCs w:val="18"/>
              </w:rPr>
            </w:pPr>
            <w:r>
              <w:rPr>
                <w:rFonts w:ascii="Times New Roman" w:hAnsi="Times New Roman" w:cs="Times New Roman"/>
                <w:sz w:val="18"/>
                <w:szCs w:val="18"/>
              </w:rPr>
              <w:t>Fine Arts</w:t>
            </w:r>
          </w:p>
          <w:p>
            <w:pPr>
              <w:ind w:firstLine="360"/>
              <w:jc w:val="center"/>
              <w:rPr>
                <w:rFonts w:ascii="Times New Roman" w:hAnsi="Times New Roman" w:cs="Times New Roman"/>
                <w:sz w:val="18"/>
                <w:szCs w:val="18"/>
              </w:rPr>
            </w:pPr>
            <w:r>
              <w:rPr>
                <w:rFonts w:ascii="Times New Roman" w:hAnsi="Times New Roman" w:cs="Times New Roman"/>
                <w:sz w:val="18"/>
                <w:szCs w:val="18"/>
              </w:rPr>
              <w:t>Design</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3+1 Bachelor’s-Master’s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Institute of Derby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820"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Music</w:t>
            </w:r>
          </w:p>
          <w:p>
            <w:pPr>
              <w:ind w:firstLine="360"/>
              <w:jc w:val="center"/>
              <w:rPr>
                <w:rFonts w:ascii="Times New Roman" w:hAnsi="Times New Roman" w:cs="Times New Roman"/>
                <w:sz w:val="18"/>
                <w:szCs w:val="18"/>
              </w:rPr>
            </w:pPr>
            <w:r>
              <w:rPr>
                <w:rFonts w:ascii="Times New Roman" w:hAnsi="Times New Roman" w:cs="Times New Roman"/>
                <w:sz w:val="18"/>
                <w:szCs w:val="18"/>
              </w:rPr>
              <w:t>Musical Performance</w:t>
            </w:r>
          </w:p>
          <w:p>
            <w:pPr>
              <w:ind w:firstLine="360"/>
              <w:jc w:val="center"/>
              <w:rPr>
                <w:rFonts w:ascii="Times New Roman" w:hAnsi="Times New Roman" w:cs="Times New Roman"/>
                <w:sz w:val="18"/>
                <w:szCs w:val="18"/>
              </w:rPr>
            </w:pPr>
            <w:r>
              <w:rPr>
                <w:rFonts w:ascii="Times New Roman" w:hAnsi="Times New Roman" w:cs="Times New Roman"/>
                <w:sz w:val="18"/>
                <w:szCs w:val="18"/>
              </w:rPr>
              <w:t>Dance Performance</w:t>
            </w:r>
          </w:p>
          <w:p>
            <w:pPr>
              <w:ind w:firstLine="360"/>
              <w:jc w:val="center"/>
              <w:rPr>
                <w:rFonts w:ascii="Times New Roman" w:hAnsi="Times New Roman" w:cs="Times New Roman"/>
                <w:sz w:val="18"/>
                <w:szCs w:val="18"/>
              </w:rPr>
            </w:pPr>
            <w:r>
              <w:rPr>
                <w:rFonts w:ascii="Times New Roman" w:hAnsi="Times New Roman" w:cs="Times New Roman"/>
                <w:sz w:val="18"/>
                <w:szCs w:val="18"/>
              </w:rPr>
              <w:t>Fine Arts</w:t>
            </w:r>
          </w:p>
          <w:p>
            <w:pPr>
              <w:ind w:firstLine="360"/>
              <w:jc w:val="center"/>
              <w:rPr>
                <w:rFonts w:ascii="Times New Roman" w:hAnsi="Times New Roman" w:cs="Times New Roman"/>
                <w:sz w:val="18"/>
                <w:szCs w:val="18"/>
              </w:rPr>
            </w:pPr>
            <w:r>
              <w:rPr>
                <w:rFonts w:ascii="Times New Roman" w:hAnsi="Times New Roman" w:cs="Times New Roman"/>
                <w:sz w:val="18"/>
                <w:szCs w:val="18"/>
              </w:rPr>
              <w:t>Design</w:t>
            </w:r>
          </w:p>
        </w:tc>
        <w:tc>
          <w:tcPr>
            <w:tcW w:w="3107"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sz w:val="18"/>
                <w:szCs w:val="18"/>
              </w:rPr>
              <w:t>Summer Holiday Program</w:t>
            </w:r>
          </w:p>
        </w:tc>
        <w:tc>
          <w:tcPr>
            <w:tcW w:w="3108" w:type="dxa"/>
            <w:tcBorders>
              <w:top w:val="single" w:color="auto" w:sz="4" w:space="0"/>
              <w:left w:val="single" w:color="auto" w:sz="4" w:space="0"/>
              <w:bottom w:val="single" w:color="auto" w:sz="4" w:space="0"/>
              <w:right w:val="single" w:color="auto" w:sz="4" w:space="0"/>
            </w:tcBorders>
            <w:vAlign w:val="center"/>
          </w:tcPr>
          <w:p>
            <w:pPr>
              <w:ind w:firstLine="360"/>
              <w:jc w:val="center"/>
              <w:rPr>
                <w:rFonts w:ascii="Times New Roman" w:hAnsi="Times New Roman" w:cs="Times New Roman"/>
                <w:sz w:val="18"/>
                <w:szCs w:val="18"/>
              </w:rPr>
            </w:pPr>
            <w:r>
              <w:rPr>
                <w:rFonts w:ascii="Times New Roman" w:hAnsi="Times New Roman" w:cs="Times New Roman"/>
                <w:color w:val="333333"/>
                <w:sz w:val="21"/>
                <w:szCs w:val="21"/>
                <w:shd w:val="clear" w:color="auto" w:fill="FFFFFF"/>
              </w:rPr>
              <w:t>Palacky Institute Olomouc</w:t>
            </w:r>
          </w:p>
        </w:tc>
      </w:tr>
    </w:tbl>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r>
        <w:rPr>
          <w:rFonts w:ascii="Times New Roman" w:hAnsi="Times New Roman" w:eastAsia="仿宋" w:cs="Times New Roman"/>
          <w:b/>
          <w:sz w:val="24"/>
          <w:szCs w:val="24"/>
          <w:shd w:val="clear" w:color="auto" w:fill="FFFFFF"/>
        </w:rPr>
        <w:t xml:space="preserve">2.1.9 Freshman Orientation </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Institute carries out unified military training and orientation for freshmen. The entrance education is mainly in the form of freshmen meetings. The Dean, Vice Dean of Teaching, Vice Dean of Student Affairs Office and all relevant faculty at the Institute will communicate with student</w:t>
      </w:r>
      <w:r>
        <w:rPr>
          <w:rFonts w:hint="eastAsia" w:ascii="Times New Roman" w:hAnsi="Times New Roman" w:eastAsia="仿宋" w:cs="Times New Roman"/>
          <w:sz w:val="24"/>
          <w:szCs w:val="24"/>
          <w:shd w:val="clear" w:color="auto" w:fill="FFFFFF"/>
        </w:rPr>
        <w:t>s</w:t>
      </w:r>
      <w:r>
        <w:rPr>
          <w:rFonts w:ascii="Times New Roman" w:hAnsi="Times New Roman" w:eastAsia="仿宋" w:cs="Times New Roman"/>
          <w:sz w:val="24"/>
          <w:szCs w:val="24"/>
          <w:shd w:val="clear" w:color="auto" w:fill="FFFFFF"/>
        </w:rPr>
        <w:t xml:space="preserve"> fact to face and introduce their majors, including the teaching arrangement, course plan, examination plan, degree awarding, major planning etc.  </w:t>
      </w:r>
    </w:p>
    <w:p>
      <w:pPr>
        <w:spacing w:line="440" w:lineRule="exact"/>
        <w:jc w:val="both"/>
        <w:rPr>
          <w:rFonts w:ascii="Times New Roman" w:hAnsi="Times New Roman" w:eastAsia="仿宋" w:cs="Times New Roman"/>
          <w:sz w:val="24"/>
          <w:szCs w:val="24"/>
          <w:shd w:val="clear" w:color="auto" w:fill="FFFFFF"/>
        </w:rPr>
      </w:pPr>
    </w:p>
    <w:p>
      <w:pPr>
        <w:spacing w:line="440" w:lineRule="exact"/>
        <w:jc w:val="both"/>
        <w:rPr>
          <w:rFonts w:ascii="Times New Roman" w:hAnsi="Times New Roman" w:eastAsia="仿宋" w:cs="Times New Roman"/>
          <w:b/>
          <w:sz w:val="24"/>
          <w:szCs w:val="24"/>
          <w:shd w:val="clear" w:color="auto" w:fill="FFFFFF"/>
        </w:rPr>
      </w:pPr>
      <w:r>
        <w:rPr>
          <w:rFonts w:ascii="Times New Roman" w:hAnsi="Times New Roman" w:eastAsia="仿宋" w:cs="Times New Roman"/>
          <w:b/>
          <w:sz w:val="24"/>
          <w:szCs w:val="24"/>
          <w:shd w:val="clear" w:color="auto" w:fill="FFFFFF"/>
        </w:rPr>
        <w:t>2.1.10 Services provided by the</w:t>
      </w:r>
      <w:r>
        <w:rPr>
          <w:rFonts w:hint="eastAsia" w:ascii="Times New Roman" w:hAnsi="Times New Roman" w:eastAsia="仿宋" w:cs="Times New Roman"/>
          <w:b/>
          <w:sz w:val="24"/>
          <w:szCs w:val="24"/>
          <w:shd w:val="clear" w:color="auto" w:fill="FFFFFF"/>
        </w:rPr>
        <w:t xml:space="preserve"> </w:t>
      </w:r>
      <w:r>
        <w:rPr>
          <w:rFonts w:ascii="Times New Roman" w:hAnsi="Times New Roman" w:eastAsia="仿宋" w:cs="Times New Roman"/>
          <w:b/>
          <w:sz w:val="24"/>
          <w:szCs w:val="24"/>
          <w:shd w:val="clear" w:color="auto" w:fill="FFFFFF"/>
        </w:rPr>
        <w:t>Student Affairs Office</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The </w:t>
      </w:r>
      <w:r>
        <w:rPr>
          <w:rFonts w:ascii="Times New Roman" w:hAnsi="Times New Roman" w:eastAsia="仿宋" w:cs="Times New Roman"/>
          <w:sz w:val="24"/>
          <w:szCs w:val="24"/>
          <w:shd w:val="clear" w:color="auto" w:fill="FFFFFF"/>
        </w:rPr>
        <w:t xml:space="preserve">Institute has </w:t>
      </w:r>
      <w:r>
        <w:rPr>
          <w:rFonts w:ascii="Times New Roman" w:hAnsi="Times New Roman" w:eastAsia="仿宋" w:cs="Times New Roman"/>
          <w:sz w:val="24"/>
          <w:szCs w:val="24"/>
        </w:rPr>
        <w:t xml:space="preserve">formulated the </w:t>
      </w:r>
      <w:r>
        <w:rPr>
          <w:rFonts w:ascii="Times New Roman" w:hAnsi="Times New Roman" w:eastAsia="仿宋" w:cs="Times New Roman"/>
          <w:i/>
          <w:iCs/>
          <w:sz w:val="24"/>
          <w:szCs w:val="24"/>
        </w:rPr>
        <w:t>Student Handbook of Chongqing Institute of Foreign Studies</w:t>
      </w:r>
      <w:r>
        <w:rPr>
          <w:rFonts w:ascii="Times New Roman" w:hAnsi="Times New Roman" w:eastAsia="仿宋" w:cs="Times New Roman"/>
          <w:sz w:val="24"/>
          <w:szCs w:val="24"/>
        </w:rPr>
        <w:t xml:space="preserve"> and </w:t>
      </w:r>
      <w:r>
        <w:rPr>
          <w:rFonts w:ascii="Times New Roman" w:hAnsi="Times New Roman" w:eastAsia="仿宋" w:cs="Times New Roman"/>
          <w:sz w:val="24"/>
          <w:szCs w:val="24"/>
          <w:shd w:val="clear" w:color="auto" w:fill="FFFFFF"/>
        </w:rPr>
        <w:t xml:space="preserve">set up a Student Affairs Office, which is responsible for the ideological and political education of students, daily management and service of students, student advising, student accommodation, student financial aid and mental health support. </w:t>
      </w:r>
    </w:p>
    <w:p>
      <w:pPr>
        <w:spacing w:line="440" w:lineRule="exact"/>
        <w:jc w:val="both"/>
        <w:rPr>
          <w:rFonts w:ascii="Times New Roman" w:hAnsi="Times New Roman" w:eastAsia="仿宋" w:cs="Times New Roman"/>
          <w:sz w:val="24"/>
          <w:szCs w:val="24"/>
          <w:shd w:val="clear" w:color="auto" w:fill="FFFFFF"/>
        </w:rPr>
      </w:pPr>
      <w:r>
        <w:rPr>
          <w:rFonts w:hint="eastAsia" w:ascii="Times New Roman" w:hAnsi="Times New Roman" w:eastAsia="仿宋" w:cs="Times New Roman"/>
          <w:sz w:val="24"/>
          <w:szCs w:val="24"/>
          <w:shd w:val="clear" w:color="auto" w:fill="FFFFFF"/>
        </w:rPr>
        <w:t>The Student Affairs Office strives for excellence in the following provisions:</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To inspect, supervise and assess the implementation of moral education programs for undergraduate and junior college students in each school/college.</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research of student feedback, study, life, mental health and other aspects, to grasp students’ ideological trends</w:t>
      </w:r>
      <w:r>
        <w:rPr>
          <w:rFonts w:ascii="Times New Roman" w:hAnsi="Times New Roman" w:eastAsia="仿宋" w:cs="Times New Roman"/>
          <w:sz w:val="24"/>
          <w:szCs w:val="24"/>
        </w:rPr>
        <w:t xml:space="preserve"> in a timely manner.</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To strengthen the theoretical research of students</w:t>
      </w:r>
      <w:r>
        <w:rPr>
          <w:rFonts w:hint="eastAsia" w:ascii="Times New Roman" w:hAnsi="Times New Roman" w:eastAsia="仿宋" w:cs="Times New Roman"/>
          <w:sz w:val="24"/>
          <w:szCs w:val="24"/>
          <w:shd w:val="clear" w:color="auto" w:fill="FFFFFF"/>
        </w:rPr>
        <w:t xml:space="preserve"> management</w:t>
      </w:r>
      <w:r>
        <w:rPr>
          <w:rFonts w:ascii="Times New Roman" w:hAnsi="Times New Roman" w:eastAsia="仿宋" w:cs="Times New Roman"/>
          <w:sz w:val="24"/>
          <w:szCs w:val="24"/>
          <w:shd w:val="clear" w:color="auto" w:fill="FFFFFF"/>
        </w:rPr>
        <w:t>, put forward corresponding guidance to improve students</w:t>
      </w:r>
      <w:r>
        <w:rPr>
          <w:rFonts w:hint="eastAsia" w:ascii="Times New Roman" w:hAnsi="Times New Roman" w:eastAsia="仿宋" w:cs="Times New Roman"/>
          <w:sz w:val="24"/>
          <w:szCs w:val="24"/>
          <w:shd w:val="clear" w:color="auto" w:fill="FFFFFF"/>
        </w:rPr>
        <w:t xml:space="preserve"> management</w:t>
      </w:r>
      <w:r>
        <w:rPr>
          <w:rFonts w:ascii="Times New Roman" w:hAnsi="Times New Roman" w:eastAsia="仿宋" w:cs="Times New Roman"/>
          <w:sz w:val="24"/>
          <w:szCs w:val="24"/>
          <w:shd w:val="clear" w:color="auto" w:fill="FFFFFF"/>
        </w:rPr>
        <w:t>.</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work of rewards and regulations (for example, reward measures such as "evaluation of scholarships and grants, selection of outstanding student cadres, selection of outstanding student pacesetters and excellent dormitory", and disciplinary measures such as "Notice of criticism on attendance, notice of criticism on violation of discipline, notice of criticism on violation of public security management regulations, notice of criticism on violation of dormitory management regulations notice of criticism on dormitory sanitation inspection", etc.).</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Report for approval of disciplinary measures for students.</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Assessment of students’ comprehensive quality.</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To deal with student appeals for fairness, impartiality and openness in the selection of scholarships, grants and other awards.</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issuance and replacement of student ID cards.</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handling and replacement of train ticket preferential cards.</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development of student work assistant team.</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inspection and supervision of attendance rate.</w:t>
      </w:r>
    </w:p>
    <w:p>
      <w:pPr>
        <w:numPr>
          <w:ilvl w:val="0"/>
          <w:numId w:val="2"/>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 The supervision and development of good study habits.</w:t>
      </w:r>
    </w:p>
    <w:p>
      <w:pPr>
        <w:numPr>
          <w:ilvl w:val="0"/>
          <w:numId w:val="2"/>
        </w:numPr>
        <w:spacing w:line="440" w:lineRule="exact"/>
        <w:jc w:val="both"/>
        <w:rPr>
          <w:rFonts w:eastAsia="仿宋"/>
          <w:shd w:val="clear" w:color="auto" w:fill="FFFFFF"/>
        </w:rPr>
      </w:pPr>
      <w:r>
        <w:rPr>
          <w:rFonts w:ascii="Times New Roman" w:hAnsi="Times New Roman" w:eastAsia="仿宋" w:cs="Times New Roman"/>
          <w:sz w:val="24"/>
          <w:szCs w:val="24"/>
          <w:shd w:val="clear" w:color="auto" w:fill="FFFFFF"/>
        </w:rPr>
        <w:t xml:space="preserve"> To carry out on-campus cultural activities such as students' career planning and safety education to expand students' quality and promote the development of cultural connotation.</w:t>
      </w:r>
    </w:p>
    <w:p>
      <w:pPr>
        <w:numPr>
          <w:ilvl w:val="0"/>
          <w:numId w:val="2"/>
        </w:numPr>
        <w:spacing w:line="440" w:lineRule="exact"/>
        <w:jc w:val="both"/>
        <w:rPr>
          <w:rFonts w:ascii="Times New Roman" w:hAnsi="Times New Roman" w:eastAsia="仿宋" w:cs="Times New Roman"/>
          <w:sz w:val="24"/>
          <w:szCs w:val="24"/>
        </w:rPr>
      </w:pPr>
      <w:r>
        <w:rPr>
          <w:rFonts w:ascii="Times New Roman" w:hAnsi="Times New Roman" w:eastAsia="仿宋" w:cs="Times New Roman"/>
          <w:sz w:val="24"/>
          <w:szCs w:val="24"/>
          <w:shd w:val="clear" w:color="auto" w:fill="FFFFFF"/>
        </w:rPr>
        <w:t xml:space="preserve"> To provide full-time counselors for each freshman class (The counselors are responsible for the management of student life, student advising and other aspects of student experience and forming the "contact system between counselors and teachers at Chongqing Institute of Foreign Studies". </w:t>
      </w:r>
      <w:r>
        <w:rPr>
          <w:rFonts w:ascii="Times New Roman" w:hAnsi="Times New Roman" w:eastAsia="仿宋" w:cs="Times New Roman"/>
          <w:sz w:val="24"/>
          <w:szCs w:val="24"/>
        </w:rPr>
        <w:t>Through effective communication, lectures and seminars, counselors can go into students’ classes, and strengthen the communication between counselors and teachers, improve the quality of classroom teaching, more effectively promote students’ learning and moral cultivation, and do a better job in student education and management.)</w:t>
      </w: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eastAsia="仿宋"/>
          <w:b/>
          <w:shd w:val="clear" w:color="auto" w:fill="FFFFFF"/>
        </w:rPr>
      </w:pPr>
      <w:r>
        <w:rPr>
          <w:rFonts w:ascii="Times New Roman" w:hAnsi="Times New Roman" w:eastAsia="仿宋" w:cs="Times New Roman"/>
          <w:b/>
          <w:sz w:val="24"/>
          <w:szCs w:val="24"/>
          <w:shd w:val="clear" w:color="auto" w:fill="FFFFFF"/>
        </w:rPr>
        <w:t>2.1.11 Diversity and Empowering</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The Institute is committed to the diversity of "culture, region, race and gender" and enrolls students across the country regardless of their backgrounds. The Institute enrolls students from 30 provinces, municipalities and autonomous regions in mainland China, and the enrolled students are from 30 ethnic groups.</w:t>
      </w:r>
    </w:p>
    <w:p>
      <w:pPr>
        <w:spacing w:line="440" w:lineRule="exact"/>
        <w:jc w:val="both"/>
        <w:rPr>
          <w:rFonts w:ascii="Times New Roman" w:hAnsi="Times New Roman" w:eastAsia="仿宋" w:cs="Times New Roman"/>
          <w:sz w:val="24"/>
          <w:szCs w:val="24"/>
          <w:shd w:val="clear" w:color="auto" w:fill="FFFFFF"/>
        </w:rPr>
      </w:pPr>
      <w:bookmarkStart w:id="3" w:name="OLE_LINK3"/>
      <w:r>
        <w:rPr>
          <w:rFonts w:ascii="Times New Roman" w:hAnsi="Times New Roman" w:eastAsia="仿宋" w:cs="Times New Roman"/>
          <w:sz w:val="24"/>
          <w:szCs w:val="24"/>
          <w:shd w:val="clear" w:color="auto" w:fill="FFFFFF"/>
        </w:rPr>
        <w:t>The Institute</w:t>
      </w:r>
      <w:bookmarkEnd w:id="3"/>
      <w:r>
        <w:rPr>
          <w:rFonts w:ascii="Times New Roman" w:hAnsi="Times New Roman" w:eastAsia="仿宋" w:cs="Times New Roman"/>
          <w:sz w:val="24"/>
          <w:szCs w:val="24"/>
          <w:shd w:val="clear" w:color="auto" w:fill="FFFFFF"/>
        </w:rPr>
        <w:t xml:space="preserve"> provides student loans and deferment of tuition fee payment for students from poor families to ensure that students will not drop out </w:t>
      </w:r>
      <w:r>
        <w:rPr>
          <w:rFonts w:ascii="Times New Roman" w:hAnsi="Times New Roman" w:eastAsia="仿宋" w:cs="Times New Roman"/>
          <w:sz w:val="24"/>
          <w:szCs w:val="24"/>
        </w:rPr>
        <w:t>and lose access to education</w:t>
      </w:r>
      <w:r>
        <w:rPr>
          <w:rFonts w:ascii="Times New Roman" w:hAnsi="Times New Roman" w:eastAsia="仿宋" w:cs="Times New Roman"/>
          <w:sz w:val="24"/>
          <w:szCs w:val="24"/>
          <w:shd w:val="clear" w:color="auto" w:fill="FFFFFF"/>
        </w:rPr>
        <w:t xml:space="preserve"> due to financial problems. To those who study hard and achieve excellent learning outcomes, the Institute awards various scholarships such as National Scholarship and Institute-based scholarships. To those with great innovative abilities and corresponding works or projects, the Institute issues</w:t>
      </w:r>
      <w:r>
        <w:rPr>
          <w:rFonts w:ascii="Times New Roman" w:hAnsi="Times New Roman" w:eastAsia="仿宋" w:cs="Times New Roman"/>
          <w:sz w:val="24"/>
          <w:szCs w:val="24"/>
        </w:rPr>
        <w:t xml:space="preserve"> Entrepreneurial Scholarship. And there are strict and scientific application rules and regulations for each kind of scholarship.</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The Institute will foster an inclusive environment which supports mental and physical wellbeing, ensures the health, safety and security of our students and empowers people to achieve their potential and their goals. The Institute will put measures in place to ensure that we eliminate the attainment gaps between students from diverse backgrounds.</w:t>
      </w:r>
    </w:p>
    <w:p>
      <w:pPr>
        <w:spacing w:line="440" w:lineRule="exact"/>
        <w:jc w:val="both"/>
        <w:rPr>
          <w:rFonts w:ascii="Times New Roman" w:hAnsi="Times New Roman" w:eastAsia="仿宋" w:cs="Times New Roman"/>
          <w:b/>
          <w:sz w:val="24"/>
          <w:szCs w:val="24"/>
          <w:shd w:val="clear" w:color="auto" w:fill="FFFFFF"/>
        </w:rPr>
      </w:pPr>
    </w:p>
    <w:p>
      <w:pPr>
        <w:spacing w:line="440" w:lineRule="exact"/>
        <w:jc w:val="both"/>
        <w:rPr>
          <w:rFonts w:eastAsia="仿宋"/>
          <w:b/>
          <w:shd w:val="clear" w:color="auto" w:fill="FFFFFF"/>
        </w:rPr>
      </w:pPr>
      <w:r>
        <w:rPr>
          <w:rFonts w:ascii="Times New Roman" w:hAnsi="Times New Roman" w:eastAsia="仿宋" w:cs="Times New Roman"/>
          <w:b/>
          <w:sz w:val="24"/>
          <w:szCs w:val="24"/>
          <w:shd w:val="clear" w:color="auto" w:fill="FFFFFF"/>
        </w:rPr>
        <w:t>2.1.12 Mental Health Support</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The </w:t>
      </w:r>
      <w:bookmarkStart w:id="4" w:name="OLE_LINK2"/>
      <w:r>
        <w:rPr>
          <w:rFonts w:ascii="Times New Roman" w:hAnsi="Times New Roman" w:eastAsia="仿宋" w:cs="Times New Roman"/>
          <w:sz w:val="24"/>
          <w:szCs w:val="24"/>
          <w:shd w:val="clear" w:color="auto" w:fill="FFFFFF"/>
        </w:rPr>
        <w:t>Student Affairs Office</w:t>
      </w:r>
      <w:bookmarkEnd w:id="4"/>
      <w:r>
        <w:rPr>
          <w:rFonts w:ascii="Times New Roman" w:hAnsi="Times New Roman" w:eastAsia="仿宋" w:cs="Times New Roman"/>
          <w:sz w:val="24"/>
          <w:szCs w:val="24"/>
          <w:shd w:val="clear" w:color="auto" w:fill="FFFFFF"/>
        </w:rPr>
        <w:t xml:space="preserve"> carries out a variety of mental health education activities, such as psychological role-playing and psychological lectures. After the freshmen enroll in</w:t>
      </w:r>
      <w:r>
        <w:rPr>
          <w:rFonts w:ascii="Times New Roman" w:hAnsi="Times New Roman" w:eastAsia="仿宋" w:cs="Times New Roman"/>
          <w:color w:val="FFC000"/>
          <w:sz w:val="24"/>
          <w:szCs w:val="24"/>
          <w:shd w:val="clear" w:color="auto" w:fill="FFFFFF"/>
        </w:rPr>
        <w:t xml:space="preserve"> </w:t>
      </w:r>
      <w:r>
        <w:rPr>
          <w:rFonts w:ascii="Times New Roman" w:hAnsi="Times New Roman" w:eastAsia="仿宋" w:cs="Times New Roman"/>
          <w:sz w:val="24"/>
          <w:szCs w:val="24"/>
          <w:shd w:val="clear" w:color="auto" w:fill="FFFFFF"/>
        </w:rPr>
        <w:t>the Institute, the Student Affairs Office publicizes mental health knowledge for all freshmen focusing on the theme of how to adapt to the university life by means of knowledge lectures, distribution of publicity cards, materials and leaflets. Every year, the Student Affairs Office organizes freshmen to undertake psychological assessment</w:t>
      </w:r>
      <w:r>
        <w:rPr>
          <w:rFonts w:ascii="Times New Roman" w:hAnsi="Times New Roman" w:eastAsia="仿宋" w:cs="Times New Roman"/>
          <w:color w:val="FFC000"/>
          <w:sz w:val="24"/>
          <w:szCs w:val="24"/>
          <w:shd w:val="clear" w:color="auto" w:fill="FFFFFF"/>
        </w:rPr>
        <w:t xml:space="preserve"> </w:t>
      </w:r>
      <w:r>
        <w:rPr>
          <w:rFonts w:ascii="Times New Roman" w:hAnsi="Times New Roman" w:eastAsia="仿宋" w:cs="Times New Roman"/>
          <w:sz w:val="24"/>
          <w:szCs w:val="24"/>
          <w:shd w:val="clear" w:color="auto" w:fill="FFFFFF"/>
        </w:rPr>
        <w:t xml:space="preserve">and reports. Based on the analysis report of psychological assessment results, support service will be provided to the students who may have serious psychological problems. </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On working days, students can visit the psychological consultation room by themselves, where student advisers provide students with various forms of consultation, including development consultation, adaptation consultation and obstacle consultation, to help students resolve and eliminate psychological confusion and psychological barriers to success. Those who suffer serious mental health issues will be referred to professional psychological clinics for timely treatment so </w:t>
      </w:r>
      <w:r>
        <w:rPr>
          <w:rFonts w:ascii="Times New Roman" w:hAnsi="Times New Roman" w:eastAsia="仿宋" w:cs="Times New Roman"/>
          <w:sz w:val="24"/>
          <w:szCs w:val="24"/>
        </w:rPr>
        <w:t>as to prevent and reduce psychological crisis events. The Student Affairs Office aims at providing mental health assessment, personality test and talent evaluation for students in all grades to help students understand themselves, analyze their interests, tendencies and abilities, and guide them in their career planning.</w:t>
      </w:r>
    </w:p>
    <w:p>
      <w:pPr>
        <w:spacing w:line="440" w:lineRule="exact"/>
        <w:jc w:val="both"/>
        <w:rPr>
          <w:rFonts w:ascii="Times New Roman" w:hAnsi="Times New Roman" w:eastAsia="仿宋" w:cs="Times New Roman"/>
          <w:sz w:val="24"/>
          <w:szCs w:val="24"/>
        </w:rPr>
      </w:pPr>
    </w:p>
    <w:p>
      <w:pPr>
        <w:pStyle w:val="9"/>
        <w:numPr>
          <w:ilvl w:val="1"/>
          <w:numId w:val="3"/>
        </w:numPr>
        <w:spacing w:line="440" w:lineRule="exact"/>
        <w:jc w:val="both"/>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Teaching, Learning and Evaluation Strategies</w:t>
      </w:r>
    </w:p>
    <w:p>
      <w:pPr>
        <w:spacing w:line="440" w:lineRule="exact"/>
        <w:jc w:val="both"/>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2.2.1 Teaching Emphasis and Teaching Concept</w:t>
      </w:r>
    </w:p>
    <w:p>
      <w:pPr>
        <w:spacing w:line="440" w:lineRule="exact"/>
        <w:jc w:val="both"/>
        <w:rPr>
          <w:rFonts w:ascii="Times New Roman" w:hAnsi="Times New Roman" w:eastAsia="仿宋" w:cs="Times New Roman"/>
          <w:sz w:val="24"/>
          <w:szCs w:val="24"/>
        </w:rPr>
      </w:pPr>
      <w:r>
        <w:rPr>
          <w:rFonts w:ascii="Times New Roman" w:hAnsi="Times New Roman" w:eastAsia="仿宋" w:cs="Times New Roman"/>
          <w:sz w:val="24"/>
          <w:szCs w:val="24"/>
        </w:rPr>
        <w:t>The Institute’s teaching and education focuses to “developing high-quality application-oriented talents with expertise and certain innovation ability and the ability to adapt to the needs of economic and social development”. The Institute adheres to OBE (outcome-based education), a student-centered and achievement-oriented educational philosophy, which is strengthened by continuous improvement. The resulting data provides a reference for the refinement of the Institute's applied talent training.</w:t>
      </w:r>
    </w:p>
    <w:p>
      <w:pPr>
        <w:spacing w:line="440" w:lineRule="exact"/>
        <w:jc w:val="both"/>
        <w:rPr>
          <w:rFonts w:ascii="Times New Roman" w:hAnsi="Times New Roman" w:eastAsia="仿宋" w:cs="Times New Roman"/>
          <w:b/>
          <w:bCs/>
          <w:sz w:val="24"/>
          <w:szCs w:val="24"/>
          <w:shd w:val="clear" w:color="auto" w:fill="FFFFFF"/>
        </w:rPr>
      </w:pPr>
    </w:p>
    <w:p>
      <w:pPr>
        <w:spacing w:line="440" w:lineRule="exact"/>
        <w:jc w:val="both"/>
        <w:rPr>
          <w:rFonts w:ascii="Times New Roman" w:hAnsi="Times New Roman" w:eastAsia="仿宋" w:cs="Times New Roman"/>
          <w:b/>
          <w:bCs/>
          <w:sz w:val="24"/>
          <w:szCs w:val="24"/>
          <w:shd w:val="clear" w:color="auto" w:fill="FFFFFF"/>
        </w:rPr>
      </w:pPr>
      <w:r>
        <w:rPr>
          <w:rFonts w:ascii="Times New Roman" w:hAnsi="Times New Roman" w:eastAsia="仿宋" w:cs="Times New Roman"/>
          <w:b/>
          <w:bCs/>
          <w:sz w:val="24"/>
          <w:szCs w:val="24"/>
          <w:shd w:val="clear" w:color="auto" w:fill="FFFFFF"/>
        </w:rPr>
        <w:t>2.2.2 Teaching Features</w:t>
      </w:r>
    </w:p>
    <w:p>
      <w:p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rPr>
        <w:t xml:space="preserve">In terms of the formulation of training plans, the Institute integrates public elective courses, enhances student input into individualized learning plans, and integrates the recognition of </w:t>
      </w:r>
      <w:r>
        <w:rPr>
          <w:rFonts w:ascii="Times New Roman" w:hAnsi="Times New Roman" w:eastAsia="仿宋" w:cs="Times New Roman"/>
          <w:sz w:val="24"/>
          <w:szCs w:val="24"/>
          <w:shd w:val="clear" w:color="auto" w:fill="FFFFFF"/>
        </w:rPr>
        <w:t xml:space="preserve">innovation credits. Innovation credit is a special credit mechanism </w:t>
      </w:r>
      <w:r>
        <w:rPr>
          <w:rFonts w:ascii="Times New Roman" w:hAnsi="Times New Roman" w:eastAsia="仿宋" w:cs="Times New Roman"/>
          <w:sz w:val="24"/>
          <w:szCs w:val="24"/>
        </w:rPr>
        <w:t>to promote innovation education</w:t>
      </w:r>
      <w:r>
        <w:rPr>
          <w:rFonts w:ascii="Times New Roman" w:hAnsi="Times New Roman" w:eastAsia="仿宋" w:cs="Times New Roman"/>
          <w:sz w:val="24"/>
          <w:szCs w:val="24"/>
          <w:shd w:val="clear" w:color="auto" w:fill="FFFFFF"/>
        </w:rPr>
        <w:t xml:space="preserve"> in Chongqing Institute of Foreign Studies. It means that students need to complete innovation credits before graduation. These credits are recognized by each college in 4 areas, and the innovation credit recognition form should be submitted to the Academic Affairs Office before graduation. Only when a student has achieved these credits </w:t>
      </w:r>
      <w:r>
        <w:rPr>
          <w:rFonts w:ascii="Times New Roman" w:hAnsi="Times New Roman" w:eastAsia="仿宋" w:cs="Times New Roman"/>
          <w:sz w:val="24"/>
          <w:szCs w:val="24"/>
        </w:rPr>
        <w:t xml:space="preserve">can he/she be awarded a degree. These credits include:  </w:t>
      </w:r>
    </w:p>
    <w:p>
      <w:pPr>
        <w:pStyle w:val="9"/>
        <w:numPr>
          <w:ilvl w:val="0"/>
          <w:numId w:val="4"/>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"Scientific and technological innovation ability": Students can obtain innovation credits by publishing papers, participating in their tutor's scientific research projects, participating in scientific and technological innovation competition projects, and applying for patents; </w:t>
      </w:r>
    </w:p>
    <w:p>
      <w:pPr>
        <w:pStyle w:val="9"/>
        <w:numPr>
          <w:ilvl w:val="0"/>
          <w:numId w:val="4"/>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"Professional core competence": Students can obtain innovation credits by obtaining CET-4 and CET-6 certificates, computer level examination certificates, vocational skills certificates, minor/ second degrees; </w:t>
      </w:r>
    </w:p>
    <w:p>
      <w:pPr>
        <w:pStyle w:val="9"/>
        <w:numPr>
          <w:ilvl w:val="0"/>
          <w:numId w:val="4"/>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"Employment and entrepreneurship": Students can obtain innovation credits through internships or independent business ventures; </w:t>
      </w:r>
    </w:p>
    <w:p>
      <w:pPr>
        <w:pStyle w:val="9"/>
        <w:numPr>
          <w:ilvl w:val="0"/>
          <w:numId w:val="4"/>
        </w:numPr>
        <w:spacing w:line="440" w:lineRule="exact"/>
        <w:jc w:val="both"/>
        <w:rPr>
          <w:rFonts w:ascii="Times New Roman" w:hAnsi="Times New Roman" w:eastAsia="仿宋" w:cs="Times New Roman"/>
          <w:sz w:val="24"/>
          <w:szCs w:val="24"/>
          <w:shd w:val="clear" w:color="auto" w:fill="FFFFFF"/>
        </w:rPr>
      </w:pPr>
      <w:r>
        <w:rPr>
          <w:rFonts w:ascii="Times New Roman" w:hAnsi="Times New Roman" w:eastAsia="仿宋" w:cs="Times New Roman"/>
          <w:sz w:val="24"/>
          <w:szCs w:val="24"/>
          <w:shd w:val="clear" w:color="auto" w:fill="FFFFFF"/>
        </w:rPr>
        <w:t xml:space="preserve">"Social practice ability": Students can obtain innovation credits through volunteer services, social practice research, public welfare activities, work study programs, etc. The innovation credit system provides a broad way for students to study independently and develop their personality. </w:t>
      </w:r>
    </w:p>
    <w:p/>
    <w:p/>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NumberOnly">
    <w:panose1 w:val="020B0500000000000000"/>
    <w:charset w:val="00"/>
    <w:family w:val="auto"/>
    <w:pitch w:val="default"/>
    <w:sig w:usb0="8000002F" w:usb1="10000048" w:usb2="00000000" w:usb3="00000000" w:csb0="0000011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7" w:lineRule="auto"/>
      </w:pPr>
      <w:r>
        <w:separator/>
      </w:r>
    </w:p>
  </w:footnote>
  <w:footnote w:type="continuationSeparator" w:id="1">
    <w:p>
      <w:pPr>
        <w:spacing w:before="0" w:after="0" w:line="257"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03319D"/>
    <w:multiLevelType w:val="multilevel"/>
    <w:tmpl w:val="2F03319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1">
    <w:nsid w:val="3F640FD4"/>
    <w:multiLevelType w:val="multilevel"/>
    <w:tmpl w:val="3F640FD4"/>
    <w:lvl w:ilvl="0" w:tentative="0">
      <w:start w:val="1"/>
      <w:numFmt w:val="bullet"/>
      <w:lvlText w:val=""/>
      <w:lvlJc w:val="left"/>
      <w:pPr>
        <w:ind w:left="1680" w:hanging="360"/>
      </w:pPr>
      <w:rPr>
        <w:rFonts w:hint="default" w:ascii="Symbol" w:hAnsi="Symbol"/>
      </w:rPr>
    </w:lvl>
    <w:lvl w:ilvl="1" w:tentative="0">
      <w:start w:val="1"/>
      <w:numFmt w:val="bullet"/>
      <w:lvlText w:val="o"/>
      <w:lvlJc w:val="left"/>
      <w:pPr>
        <w:ind w:left="2400" w:hanging="360"/>
      </w:pPr>
      <w:rPr>
        <w:rFonts w:hint="default" w:ascii="Courier New" w:hAnsi="Courier New" w:cs="Courier New"/>
      </w:rPr>
    </w:lvl>
    <w:lvl w:ilvl="2" w:tentative="0">
      <w:start w:val="1"/>
      <w:numFmt w:val="bullet"/>
      <w:lvlText w:val=""/>
      <w:lvlJc w:val="left"/>
      <w:pPr>
        <w:ind w:left="3120" w:hanging="360"/>
      </w:pPr>
      <w:rPr>
        <w:rFonts w:hint="default" w:ascii="Wingdings" w:hAnsi="Wingdings"/>
      </w:rPr>
    </w:lvl>
    <w:lvl w:ilvl="3" w:tentative="0">
      <w:start w:val="1"/>
      <w:numFmt w:val="bullet"/>
      <w:lvlText w:val=""/>
      <w:lvlJc w:val="left"/>
      <w:pPr>
        <w:ind w:left="3840" w:hanging="360"/>
      </w:pPr>
      <w:rPr>
        <w:rFonts w:hint="default" w:ascii="Symbol" w:hAnsi="Symbol"/>
      </w:rPr>
    </w:lvl>
    <w:lvl w:ilvl="4" w:tentative="0">
      <w:start w:val="1"/>
      <w:numFmt w:val="bullet"/>
      <w:lvlText w:val="o"/>
      <w:lvlJc w:val="left"/>
      <w:pPr>
        <w:ind w:left="4560" w:hanging="360"/>
      </w:pPr>
      <w:rPr>
        <w:rFonts w:hint="default" w:ascii="Courier New" w:hAnsi="Courier New" w:cs="Courier New"/>
      </w:rPr>
    </w:lvl>
    <w:lvl w:ilvl="5" w:tentative="0">
      <w:start w:val="1"/>
      <w:numFmt w:val="bullet"/>
      <w:lvlText w:val=""/>
      <w:lvlJc w:val="left"/>
      <w:pPr>
        <w:ind w:left="5280" w:hanging="360"/>
      </w:pPr>
      <w:rPr>
        <w:rFonts w:hint="default" w:ascii="Wingdings" w:hAnsi="Wingdings"/>
      </w:rPr>
    </w:lvl>
    <w:lvl w:ilvl="6" w:tentative="0">
      <w:start w:val="1"/>
      <w:numFmt w:val="bullet"/>
      <w:lvlText w:val=""/>
      <w:lvlJc w:val="left"/>
      <w:pPr>
        <w:ind w:left="6000" w:hanging="360"/>
      </w:pPr>
      <w:rPr>
        <w:rFonts w:hint="default" w:ascii="Symbol" w:hAnsi="Symbol"/>
      </w:rPr>
    </w:lvl>
    <w:lvl w:ilvl="7" w:tentative="0">
      <w:start w:val="1"/>
      <w:numFmt w:val="bullet"/>
      <w:lvlText w:val="o"/>
      <w:lvlJc w:val="left"/>
      <w:pPr>
        <w:ind w:left="6720" w:hanging="360"/>
      </w:pPr>
      <w:rPr>
        <w:rFonts w:hint="default" w:ascii="Courier New" w:hAnsi="Courier New" w:cs="Courier New"/>
      </w:rPr>
    </w:lvl>
    <w:lvl w:ilvl="8" w:tentative="0">
      <w:start w:val="1"/>
      <w:numFmt w:val="bullet"/>
      <w:lvlText w:val=""/>
      <w:lvlJc w:val="left"/>
      <w:pPr>
        <w:ind w:left="7440" w:hanging="360"/>
      </w:pPr>
      <w:rPr>
        <w:rFonts w:hint="default" w:ascii="Wingdings" w:hAnsi="Wingdings"/>
      </w:rPr>
    </w:lvl>
  </w:abstractNum>
  <w:abstractNum w:abstractNumId="2">
    <w:nsid w:val="4D491CED"/>
    <w:multiLevelType w:val="multilevel"/>
    <w:tmpl w:val="4D491CED"/>
    <w:lvl w:ilvl="0" w:tentative="0">
      <w:start w:val="2"/>
      <w:numFmt w:val="decimal"/>
      <w:lvlText w:val="%1"/>
      <w:lvlJc w:val="left"/>
      <w:pPr>
        <w:ind w:left="360" w:hanging="360"/>
      </w:pPr>
      <w:rPr>
        <w:rFonts w:hint="default"/>
      </w:rPr>
    </w:lvl>
    <w:lvl w:ilvl="1" w:tentative="0">
      <w:start w:val="2"/>
      <w:numFmt w:val="decimal"/>
      <w:lvlText w:val="%1.%2"/>
      <w:lvlJc w:val="left"/>
      <w:pPr>
        <w:ind w:left="360" w:hanging="360"/>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3">
    <w:nsid w:val="6FB7089D"/>
    <w:multiLevelType w:val="multilevel"/>
    <w:tmpl w:val="6FB7089D"/>
    <w:lvl w:ilvl="0" w:tentative="0">
      <w:start w:val="1"/>
      <w:numFmt w:val="bullet"/>
      <w:lvlText w:val=""/>
      <w:lvlJc w:val="left"/>
      <w:pPr>
        <w:ind w:left="1200" w:hanging="360"/>
      </w:pPr>
      <w:rPr>
        <w:rFonts w:hint="default" w:ascii="Symbol" w:hAnsi="Symbol"/>
      </w:rPr>
    </w:lvl>
    <w:lvl w:ilvl="1" w:tentative="0">
      <w:start w:val="1"/>
      <w:numFmt w:val="bullet"/>
      <w:lvlText w:val="o"/>
      <w:lvlJc w:val="left"/>
      <w:pPr>
        <w:ind w:left="1920" w:hanging="360"/>
      </w:pPr>
      <w:rPr>
        <w:rFonts w:hint="default" w:ascii="Courier New" w:hAnsi="Courier New" w:cs="Courier New"/>
      </w:rPr>
    </w:lvl>
    <w:lvl w:ilvl="2" w:tentative="0">
      <w:start w:val="1"/>
      <w:numFmt w:val="bullet"/>
      <w:lvlText w:val=""/>
      <w:lvlJc w:val="left"/>
      <w:pPr>
        <w:ind w:left="2640" w:hanging="360"/>
      </w:pPr>
      <w:rPr>
        <w:rFonts w:hint="default" w:ascii="Wingdings" w:hAnsi="Wingdings"/>
      </w:rPr>
    </w:lvl>
    <w:lvl w:ilvl="3" w:tentative="0">
      <w:start w:val="1"/>
      <w:numFmt w:val="bullet"/>
      <w:lvlText w:val=""/>
      <w:lvlJc w:val="left"/>
      <w:pPr>
        <w:ind w:left="3360" w:hanging="360"/>
      </w:pPr>
      <w:rPr>
        <w:rFonts w:hint="default" w:ascii="Symbol" w:hAnsi="Symbol"/>
      </w:rPr>
    </w:lvl>
    <w:lvl w:ilvl="4" w:tentative="0">
      <w:start w:val="1"/>
      <w:numFmt w:val="bullet"/>
      <w:lvlText w:val="o"/>
      <w:lvlJc w:val="left"/>
      <w:pPr>
        <w:ind w:left="4080" w:hanging="360"/>
      </w:pPr>
      <w:rPr>
        <w:rFonts w:hint="default" w:ascii="Courier New" w:hAnsi="Courier New" w:cs="Courier New"/>
      </w:rPr>
    </w:lvl>
    <w:lvl w:ilvl="5" w:tentative="0">
      <w:start w:val="1"/>
      <w:numFmt w:val="bullet"/>
      <w:lvlText w:val=""/>
      <w:lvlJc w:val="left"/>
      <w:pPr>
        <w:ind w:left="4800" w:hanging="360"/>
      </w:pPr>
      <w:rPr>
        <w:rFonts w:hint="default" w:ascii="Wingdings" w:hAnsi="Wingdings"/>
      </w:rPr>
    </w:lvl>
    <w:lvl w:ilvl="6" w:tentative="0">
      <w:start w:val="1"/>
      <w:numFmt w:val="bullet"/>
      <w:lvlText w:val=""/>
      <w:lvlJc w:val="left"/>
      <w:pPr>
        <w:ind w:left="5520" w:hanging="360"/>
      </w:pPr>
      <w:rPr>
        <w:rFonts w:hint="default" w:ascii="Symbol" w:hAnsi="Symbol"/>
      </w:rPr>
    </w:lvl>
    <w:lvl w:ilvl="7" w:tentative="0">
      <w:start w:val="1"/>
      <w:numFmt w:val="bullet"/>
      <w:lvlText w:val="o"/>
      <w:lvlJc w:val="left"/>
      <w:pPr>
        <w:ind w:left="6240" w:hanging="360"/>
      </w:pPr>
      <w:rPr>
        <w:rFonts w:hint="default" w:ascii="Courier New" w:hAnsi="Courier New" w:cs="Courier New"/>
      </w:rPr>
    </w:lvl>
    <w:lvl w:ilvl="8" w:tentative="0">
      <w:start w:val="1"/>
      <w:numFmt w:val="bullet"/>
      <w:lvlText w:val=""/>
      <w:lvlJc w:val="left"/>
      <w:pPr>
        <w:ind w:left="6960" w:hanging="360"/>
      </w:pPr>
      <w:rPr>
        <w:rFonts w:hint="default" w:ascii="Wingdings" w:hAnsi="Wingdings"/>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7"/>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3BF00CF4"/>
    <w:rsid w:val="000C18BB"/>
    <w:rsid w:val="00420A58"/>
    <w:rsid w:val="00502A94"/>
    <w:rsid w:val="00724717"/>
    <w:rsid w:val="007B22CA"/>
    <w:rsid w:val="008E518F"/>
    <w:rsid w:val="009B43E5"/>
    <w:rsid w:val="00A01244"/>
    <w:rsid w:val="00AE7FF4"/>
    <w:rsid w:val="00B83F11"/>
    <w:rsid w:val="00DE26D0"/>
    <w:rsid w:val="00E90E02"/>
    <w:rsid w:val="0184654E"/>
    <w:rsid w:val="01C09F18"/>
    <w:rsid w:val="035D8557"/>
    <w:rsid w:val="05092874"/>
    <w:rsid w:val="05587466"/>
    <w:rsid w:val="06042E10"/>
    <w:rsid w:val="07ABF29E"/>
    <w:rsid w:val="0A244C42"/>
    <w:rsid w:val="0A33125B"/>
    <w:rsid w:val="0B83D89A"/>
    <w:rsid w:val="0C189230"/>
    <w:rsid w:val="0C9F330D"/>
    <w:rsid w:val="0D069E3F"/>
    <w:rsid w:val="0D53AC3A"/>
    <w:rsid w:val="0D5AECF7"/>
    <w:rsid w:val="0D5B50C4"/>
    <w:rsid w:val="0DB46291"/>
    <w:rsid w:val="0DD94B4F"/>
    <w:rsid w:val="0E108EC3"/>
    <w:rsid w:val="0E4E6C22"/>
    <w:rsid w:val="0EACB0BB"/>
    <w:rsid w:val="0EE30AB6"/>
    <w:rsid w:val="0EE35517"/>
    <w:rsid w:val="0EF6BD58"/>
    <w:rsid w:val="0EF72125"/>
    <w:rsid w:val="0F490860"/>
    <w:rsid w:val="0F5999C0"/>
    <w:rsid w:val="107F2578"/>
    <w:rsid w:val="1092F186"/>
    <w:rsid w:val="10A55F0E"/>
    <w:rsid w:val="1153B7F1"/>
    <w:rsid w:val="11857BCB"/>
    <w:rsid w:val="11894E41"/>
    <w:rsid w:val="118E270C"/>
    <w:rsid w:val="118ED796"/>
    <w:rsid w:val="11BFCE40"/>
    <w:rsid w:val="11E4517D"/>
    <w:rsid w:val="132AA7F7"/>
    <w:rsid w:val="13CA9248"/>
    <w:rsid w:val="14E40070"/>
    <w:rsid w:val="14F59D28"/>
    <w:rsid w:val="15196695"/>
    <w:rsid w:val="156662A9"/>
    <w:rsid w:val="15B958EB"/>
    <w:rsid w:val="16916D89"/>
    <w:rsid w:val="16A0FF78"/>
    <w:rsid w:val="16EF6576"/>
    <w:rsid w:val="17283662"/>
    <w:rsid w:val="17FE191A"/>
    <w:rsid w:val="181CCD3B"/>
    <w:rsid w:val="185023D2"/>
    <w:rsid w:val="18CB3CD5"/>
    <w:rsid w:val="190BC9F7"/>
    <w:rsid w:val="1959E022"/>
    <w:rsid w:val="195BAD61"/>
    <w:rsid w:val="19C90E4B"/>
    <w:rsid w:val="1B34688E"/>
    <w:rsid w:val="1B5341F4"/>
    <w:rsid w:val="1B64DEAC"/>
    <w:rsid w:val="1C3FBA6C"/>
    <w:rsid w:val="1C9180E4"/>
    <w:rsid w:val="1C934E23"/>
    <w:rsid w:val="1CC471CD"/>
    <w:rsid w:val="1DC9302D"/>
    <w:rsid w:val="1E2F1E84"/>
    <w:rsid w:val="1F53A6B6"/>
    <w:rsid w:val="1FA90FB4"/>
    <w:rsid w:val="1FAFF949"/>
    <w:rsid w:val="1FC8EE35"/>
    <w:rsid w:val="1FCAEEE5"/>
    <w:rsid w:val="2026B317"/>
    <w:rsid w:val="20C24E69"/>
    <w:rsid w:val="20D12777"/>
    <w:rsid w:val="2144E015"/>
    <w:rsid w:val="2176420E"/>
    <w:rsid w:val="21DCC1B3"/>
    <w:rsid w:val="22480521"/>
    <w:rsid w:val="22721F1B"/>
    <w:rsid w:val="2300C268"/>
    <w:rsid w:val="237D4238"/>
    <w:rsid w:val="23FDA7AD"/>
    <w:rsid w:val="245216CC"/>
    <w:rsid w:val="245A2788"/>
    <w:rsid w:val="24A96A03"/>
    <w:rsid w:val="24F17B5D"/>
    <w:rsid w:val="258CC52B"/>
    <w:rsid w:val="267B0272"/>
    <w:rsid w:val="269697A6"/>
    <w:rsid w:val="26D56E4E"/>
    <w:rsid w:val="27435B3E"/>
    <w:rsid w:val="274871C6"/>
    <w:rsid w:val="279AA8A1"/>
    <w:rsid w:val="27E10AC5"/>
    <w:rsid w:val="27EB4CE0"/>
    <w:rsid w:val="28713EAF"/>
    <w:rsid w:val="293817C5"/>
    <w:rsid w:val="2956DB8F"/>
    <w:rsid w:val="298E5DFE"/>
    <w:rsid w:val="29CE3868"/>
    <w:rsid w:val="2A7E4D53"/>
    <w:rsid w:val="2AC15850"/>
    <w:rsid w:val="2B16C61E"/>
    <w:rsid w:val="2C3201F5"/>
    <w:rsid w:val="2C3E31F8"/>
    <w:rsid w:val="2EC9C89E"/>
    <w:rsid w:val="2F90286D"/>
    <w:rsid w:val="2FD443DE"/>
    <w:rsid w:val="303E1164"/>
    <w:rsid w:val="30B2AF4A"/>
    <w:rsid w:val="31290E2F"/>
    <w:rsid w:val="31DA01BE"/>
    <w:rsid w:val="354E7D97"/>
    <w:rsid w:val="35615777"/>
    <w:rsid w:val="367F15C2"/>
    <w:rsid w:val="37D66C61"/>
    <w:rsid w:val="38109EED"/>
    <w:rsid w:val="38861E59"/>
    <w:rsid w:val="394C5AAB"/>
    <w:rsid w:val="39AC6F4E"/>
    <w:rsid w:val="3A0FE538"/>
    <w:rsid w:val="3A7066A5"/>
    <w:rsid w:val="3A9A46EA"/>
    <w:rsid w:val="3ADF69A0"/>
    <w:rsid w:val="3AEF1C30"/>
    <w:rsid w:val="3B16F5CD"/>
    <w:rsid w:val="3B401B4A"/>
    <w:rsid w:val="3BF00CF4"/>
    <w:rsid w:val="3C03B303"/>
    <w:rsid w:val="3CF6E165"/>
    <w:rsid w:val="3DEE7881"/>
    <w:rsid w:val="3E2C8588"/>
    <w:rsid w:val="3E35D3D4"/>
    <w:rsid w:val="3EDC3780"/>
    <w:rsid w:val="3F151F8A"/>
    <w:rsid w:val="3FB00ABD"/>
    <w:rsid w:val="3FC855E9"/>
    <w:rsid w:val="3FF3285C"/>
    <w:rsid w:val="402E8227"/>
    <w:rsid w:val="409A61E4"/>
    <w:rsid w:val="41092755"/>
    <w:rsid w:val="4147392D"/>
    <w:rsid w:val="416F1A1A"/>
    <w:rsid w:val="42D0F3D7"/>
    <w:rsid w:val="43574B48"/>
    <w:rsid w:val="451CBF2C"/>
    <w:rsid w:val="45516D51"/>
    <w:rsid w:val="458A4C96"/>
    <w:rsid w:val="462A2291"/>
    <w:rsid w:val="472A32C5"/>
    <w:rsid w:val="479AA9CA"/>
    <w:rsid w:val="47A4C44B"/>
    <w:rsid w:val="48545FEE"/>
    <w:rsid w:val="492A03AE"/>
    <w:rsid w:val="49AEC6B6"/>
    <w:rsid w:val="4A0958AC"/>
    <w:rsid w:val="4A2C6A19"/>
    <w:rsid w:val="4A65AB3F"/>
    <w:rsid w:val="4A7F3F61"/>
    <w:rsid w:val="4AA9192F"/>
    <w:rsid w:val="4CC84377"/>
    <w:rsid w:val="4CEF1E4C"/>
    <w:rsid w:val="4D27D111"/>
    <w:rsid w:val="4E43D842"/>
    <w:rsid w:val="4F391C62"/>
    <w:rsid w:val="4FDFA8A3"/>
    <w:rsid w:val="506A1205"/>
    <w:rsid w:val="518D7652"/>
    <w:rsid w:val="528CA426"/>
    <w:rsid w:val="52E776F2"/>
    <w:rsid w:val="5363B2E7"/>
    <w:rsid w:val="5386CAC6"/>
    <w:rsid w:val="542ECE76"/>
    <w:rsid w:val="560EDD31"/>
    <w:rsid w:val="56CEB357"/>
    <w:rsid w:val="56D2CE67"/>
    <w:rsid w:val="57261E28"/>
    <w:rsid w:val="57734959"/>
    <w:rsid w:val="57745010"/>
    <w:rsid w:val="57CDFBBE"/>
    <w:rsid w:val="57FA61C8"/>
    <w:rsid w:val="5833A1F3"/>
    <w:rsid w:val="59CF7254"/>
    <w:rsid w:val="5A45DA63"/>
    <w:rsid w:val="5A4A7B69"/>
    <w:rsid w:val="5AAEBD17"/>
    <w:rsid w:val="5D821C2B"/>
    <w:rsid w:val="5EC135D8"/>
    <w:rsid w:val="5F415081"/>
    <w:rsid w:val="5F533954"/>
    <w:rsid w:val="605D0639"/>
    <w:rsid w:val="6099E18D"/>
    <w:rsid w:val="6162E039"/>
    <w:rsid w:val="645037A8"/>
    <w:rsid w:val="65C97381"/>
    <w:rsid w:val="668D94AC"/>
    <w:rsid w:val="66D9259F"/>
    <w:rsid w:val="67CD2CD2"/>
    <w:rsid w:val="68170799"/>
    <w:rsid w:val="69D0BD08"/>
    <w:rsid w:val="6A59790F"/>
    <w:rsid w:val="6AF38F7A"/>
    <w:rsid w:val="6B53650C"/>
    <w:rsid w:val="6B69DD4C"/>
    <w:rsid w:val="6BDE3ADF"/>
    <w:rsid w:val="6C12A31C"/>
    <w:rsid w:val="6E4950C7"/>
    <w:rsid w:val="6F1B8B04"/>
    <w:rsid w:val="6F900398"/>
    <w:rsid w:val="6FEC19CE"/>
    <w:rsid w:val="7216E7EA"/>
    <w:rsid w:val="72C3B01D"/>
    <w:rsid w:val="73497786"/>
    <w:rsid w:val="73EC2C21"/>
    <w:rsid w:val="744BB470"/>
    <w:rsid w:val="748013F8"/>
    <w:rsid w:val="748559A2"/>
    <w:rsid w:val="74977AB2"/>
    <w:rsid w:val="75F31408"/>
    <w:rsid w:val="7681169E"/>
    <w:rsid w:val="76D5DF19"/>
    <w:rsid w:val="76F47B3F"/>
    <w:rsid w:val="770D748C"/>
    <w:rsid w:val="783E5AA7"/>
    <w:rsid w:val="784C1462"/>
    <w:rsid w:val="78FB0B65"/>
    <w:rsid w:val="7932F1A1"/>
    <w:rsid w:val="7947F5B6"/>
    <w:rsid w:val="79795368"/>
    <w:rsid w:val="798B18AF"/>
    <w:rsid w:val="79DA2B08"/>
    <w:rsid w:val="79E7E4C3"/>
    <w:rsid w:val="7A62B820"/>
    <w:rsid w:val="7A7B034C"/>
    <w:rsid w:val="7AC17B68"/>
    <w:rsid w:val="7B136F5F"/>
    <w:rsid w:val="7CB0F42A"/>
    <w:rsid w:val="7D1FD147"/>
    <w:rsid w:val="7D667873"/>
    <w:rsid w:val="7D7CB610"/>
    <w:rsid w:val="7DDEF8A9"/>
    <w:rsid w:val="7DE7C93C"/>
    <w:rsid w:val="7DF91C2A"/>
    <w:rsid w:val="7E2742D3"/>
    <w:rsid w:val="7E3C8A1A"/>
    <w:rsid w:val="7E5A7FA6"/>
    <w:rsid w:val="7E8D5F0B"/>
    <w:rsid w:val="7E972EAB"/>
    <w:rsid w:val="7EECB7DF"/>
    <w:rsid w:val="7FAA208A"/>
    <w:rsid w:val="7FE894E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7" w:lineRule="auto"/>
    </w:pPr>
    <w:rPr>
      <w:rFonts w:ascii="Calibri" w:hAnsi="Calibri" w:eastAsia="宋体" w:cs="宋体"/>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cs="Times New Roman"/>
      <w:sz w:val="24"/>
      <w:szCs w:val="24"/>
    </w:rPr>
  </w:style>
  <w:style w:type="table" w:styleId="5">
    <w:name w:val="Table Grid"/>
    <w:basedOn w:val="4"/>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annotation reference"/>
    <w:basedOn w:val="6"/>
    <w:qFormat/>
    <w:uiPriority w:val="0"/>
    <w:rPr>
      <w:sz w:val="16"/>
      <w:szCs w:val="16"/>
    </w:rPr>
  </w:style>
  <w:style w:type="character" w:customStyle="1" w:styleId="8">
    <w:name w:val="translated-span"/>
    <w:qFormat/>
    <w:uiPriority w:val="99"/>
  </w:style>
  <w:style w:type="paragraph" w:styleId="9">
    <w:name w:val="List Paragraph"/>
    <w:basedOn w:val="1"/>
    <w:qFormat/>
    <w:uiPriority w:val="99"/>
    <w:pPr>
      <w:ind w:left="720"/>
      <w:contextualSpacing/>
    </w:pPr>
  </w:style>
  <w:style w:type="paragraph" w:customStyle="1" w:styleId="10">
    <w:name w:val="Comment Text1"/>
    <w:qFormat/>
    <w:uiPriority w:val="99"/>
    <w:pPr>
      <w:spacing w:after="160"/>
    </w:pPr>
    <w:rPr>
      <w:rFonts w:ascii="Calibri" w:hAnsi="Calibri" w:eastAsia="宋体" w:cs="宋体"/>
      <w:lang w:val="en-US" w:eastAsia="zh-CN" w:bidi="ar-SA"/>
    </w:rPr>
  </w:style>
  <w:style w:type="paragraph" w:customStyle="1" w:styleId="11">
    <w:name w:val="Revision"/>
    <w:hidden/>
    <w:semiHidden/>
    <w:qFormat/>
    <w:uiPriority w:val="99"/>
    <w:rPr>
      <w:rFonts w:ascii="Calibri" w:hAnsi="Calibri" w:eastAsia="宋体" w:cs="宋体"/>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EDECA369A0F94688C8F6B29F66D9DD" ma:contentTypeVersion="4" ma:contentTypeDescription="Create a new document." ma:contentTypeScope="" ma:versionID="570749e616c940aea56adb4bab40c4ea">
  <xsd:schema xmlns:xsd="http://www.w3.org/2001/XMLSchema" xmlns:xs="http://www.w3.org/2001/XMLSchema" xmlns:p="http://schemas.microsoft.com/office/2006/metadata/properties" xmlns:ns2="c9f44522-35e6-4fc4-8692-2b7f7a5c3f6a" xmlns:ns3="c01c4fc6-4ecb-49a3-a51a-55c56279b2cd" targetNamespace="http://schemas.microsoft.com/office/2006/metadata/properties" ma:root="true" ma:fieldsID="567acf282eb45401d4aa5ac9f76f8159" ns2:_="" ns3:_="">
    <xsd:import namespace="c9f44522-35e6-4fc4-8692-2b7f7a5c3f6a"/>
    <xsd:import namespace="c01c4fc6-4ecb-49a3-a51a-55c56279b2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44522-35e6-4fc4-8692-2b7f7a5c3f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1c4fc6-4ecb-49a3-a51a-55c56279b2c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EE33E4-610A-41C4-86FB-37E5AEAAB6A9}">
  <ds:schemaRefs/>
</ds:datastoreItem>
</file>

<file path=customXml/itemProps2.xml><?xml version="1.0" encoding="utf-8"?>
<ds:datastoreItem xmlns:ds="http://schemas.openxmlformats.org/officeDocument/2006/customXml" ds:itemID="{E33F42EA-BE47-4B32-BE79-727623F1C414}">
  <ds:schemaRefs/>
</ds:datastoreItem>
</file>

<file path=customXml/itemProps3.xml><?xml version="1.0" encoding="utf-8"?>
<ds:datastoreItem xmlns:ds="http://schemas.openxmlformats.org/officeDocument/2006/customXml" ds:itemID="{E2D5C4D7-A34A-464A-A1A3-2B4C5642E2D7}">
  <ds:schemaRefs/>
</ds:datastoreItem>
</file>

<file path=docProps/app.xml><?xml version="1.0" encoding="utf-8"?>
<Properties xmlns="http://schemas.openxmlformats.org/officeDocument/2006/extended-properties" xmlns:vt="http://schemas.openxmlformats.org/officeDocument/2006/docPropsVTypes">
  <Template>Normal.dotm</Template>
  <Pages>12</Pages>
  <Words>2606</Words>
  <Characters>16321</Characters>
  <Lines>136</Lines>
  <Paragraphs>37</Paragraphs>
  <TotalTime>32</TotalTime>
  <ScaleCrop>false</ScaleCrop>
  <LinksUpToDate>false</LinksUpToDate>
  <CharactersWithSpaces>18782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2022-07-27T08:53:00Z</dcterms:created>
  <dc:creator>windy</dc:creator>
  <cp:lastModifiedBy>Daisy 杨</cp:lastModifiedBy>
  <dcterms:modified xsi:type="dcterms:W3CDTF">2023-03-12T10:38:19Z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99C369B07E874156A19A645CC41F3E31</vt:lpwstr>
  </property>
  <property fmtid="{D5CDD505-2E9C-101B-9397-08002B2CF9AE}" pid="4" name="ContentTypeId">
    <vt:lpwstr>0x010100BBEDECA369A0F94688C8F6B29F66D9DD</vt:lpwstr>
  </property>
  <property fmtid="{D5CDD505-2E9C-101B-9397-08002B2CF9AE}" pid="5" name="Order">
    <vt:r8>1773600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ies>
</file>