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ascii="仿宋" w:hAnsi="仿宋" w:eastAsia="仿宋"/>
          <w:b/>
          <w:color w:val="000000" w:themeColor="text1"/>
          <w14:textFill>
            <w14:solidFill>
              <w14:schemeClr w14:val="tx1"/>
            </w14:solidFill>
          </w14:textFill>
        </w:rPr>
      </w:pPr>
    </w:p>
    <w:p>
      <w:pPr>
        <w:spacing w:line="240" w:lineRule="auto"/>
        <w:jc w:val="center"/>
        <w:rPr>
          <w:rFonts w:ascii="仿宋" w:hAnsi="仿宋" w:eastAsia="仿宋"/>
          <w:b/>
          <w:color w:val="000000" w:themeColor="text1"/>
          <w:sz w:val="40"/>
          <w:szCs w:val="40"/>
          <w14:textFill>
            <w14:solidFill>
              <w14:schemeClr w14:val="tx1"/>
            </w14:solidFill>
          </w14:textFill>
        </w:rPr>
      </w:pPr>
      <w:r>
        <w:rPr>
          <w:rFonts w:hint="eastAsia" w:ascii="仿宋" w:hAnsi="仿宋" w:eastAsia="仿宋"/>
          <w:b/>
          <w:color w:val="000000" w:themeColor="text1"/>
          <w:sz w:val="40"/>
          <w:szCs w:val="40"/>
          <w14:textFill>
            <w14:solidFill>
              <w14:schemeClr w14:val="tx1"/>
            </w14:solidFill>
          </w14:textFill>
        </w:rPr>
        <w:t>重庆外语外事学院</w:t>
      </w:r>
      <w:r>
        <w:rPr>
          <w:rFonts w:ascii="仿宋" w:hAnsi="仿宋" w:eastAsia="仿宋"/>
          <w:b/>
          <w:color w:val="000000" w:themeColor="text1"/>
          <w:sz w:val="40"/>
          <w:szCs w:val="40"/>
          <w14:textFill>
            <w14:solidFill>
              <w14:schemeClr w14:val="tx1"/>
            </w14:solidFill>
          </w14:textFill>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Pr>
          <w:rFonts w:hint="eastAsia" w:ascii="仿宋" w:hAnsi="仿宋" w:eastAsia="仿宋"/>
          <w:b/>
          <w:color w:val="000000" w:themeColor="text1"/>
          <w:sz w:val="40"/>
          <w:szCs w:val="40"/>
          <w14:textFill>
            <w14:solidFill>
              <w14:schemeClr w14:val="tx1"/>
            </w14:solidFill>
          </w14:textFill>
        </w:rPr>
        <w:t>智能琴房管理系统采购项目</w:t>
      </w:r>
    </w:p>
    <w:p/>
    <w:bookmarkEnd w:id="0"/>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bookmarkStart w:id="1" w:name="_Toc225669277"/>
      <w:bookmarkStart w:id="2" w:name="_Toc212454753"/>
      <w:bookmarkStart w:id="3" w:name="_Toc236021402"/>
      <w:bookmarkStart w:id="4" w:name="_Toc273178686"/>
      <w:bookmarkStart w:id="5" w:name="_Toc160880487"/>
      <w:bookmarkStart w:id="6" w:name="_Toc267060162"/>
      <w:bookmarkStart w:id="7" w:name="_Toc235437942"/>
      <w:bookmarkStart w:id="8" w:name="_Toc235438227"/>
      <w:bookmarkStart w:id="9" w:name="_Toc267060407"/>
      <w:bookmarkStart w:id="10" w:name="_Toc219800200"/>
      <w:bookmarkStart w:id="11" w:name="_Toc217891359"/>
      <w:bookmarkStart w:id="12" w:name="_Toc169332794"/>
      <w:bookmarkStart w:id="13" w:name="_Toc253066567"/>
      <w:bookmarkStart w:id="14" w:name="_Toc267059010"/>
      <w:bookmarkStart w:id="15" w:name="_Toc267059161"/>
      <w:bookmarkStart w:id="16" w:name="_Toc259692600"/>
      <w:bookmarkStart w:id="17" w:name="_Toc169332904"/>
      <w:bookmarkStart w:id="18" w:name="_Toc170798743"/>
      <w:bookmarkStart w:id="19" w:name="_Toc267060022"/>
      <w:bookmarkStart w:id="20" w:name="_Toc216241307"/>
      <w:bookmarkStart w:id="21" w:name="_Toc227058483"/>
      <w:bookmarkStart w:id="22" w:name="_Toc258401210"/>
      <w:bookmarkStart w:id="23" w:name="_Toc266870861"/>
      <w:bookmarkStart w:id="24" w:name="_Toc254790852"/>
      <w:bookmarkStart w:id="25" w:name="_Toc259520819"/>
      <w:bookmarkStart w:id="26" w:name="_Toc211937196"/>
      <w:bookmarkStart w:id="27" w:name="_Toc251613780"/>
      <w:bookmarkStart w:id="28" w:name="_Toc266870386"/>
      <w:bookmarkStart w:id="29" w:name="_Toc251586187"/>
      <w:bookmarkStart w:id="30" w:name="_Toc267059633"/>
      <w:bookmarkStart w:id="31" w:name="_Toc266868924"/>
      <w:bookmarkStart w:id="32" w:name="_Toc235438297"/>
      <w:bookmarkStart w:id="33" w:name="_Toc223146565"/>
      <w:bookmarkStart w:id="34" w:name="_Toc267059899"/>
      <w:bookmarkStart w:id="35" w:name="_Toc177985424"/>
      <w:bookmarkStart w:id="36" w:name="_Toc267059786"/>
      <w:bookmarkStart w:id="37" w:name="_Toc255974963"/>
      <w:bookmarkStart w:id="38" w:name="_Toc212526081"/>
      <w:bookmarkStart w:id="39" w:name="_Toc259692693"/>
      <w:bookmarkStart w:id="40" w:name="_Toc249325665"/>
      <w:bookmarkStart w:id="41" w:name="_Toc212456146"/>
      <w:bookmarkStart w:id="42" w:name="_Toc207014580"/>
      <w:bookmarkStart w:id="43" w:name="_Toc212530253"/>
      <w:bookmarkStart w:id="44" w:name="_Toc267059519"/>
      <w:bookmarkStart w:id="45" w:name="_Toc266868624"/>
    </w:p>
    <w:p>
      <w:pPr>
        <w:spacing w:after="0" w:line="500" w:lineRule="exact"/>
        <w:ind w:firstLine="1405" w:firstLineChars="500"/>
        <w:rPr>
          <w:rFonts w:ascii="Times New Roman" w:hAnsi="Times New Roman" w:eastAsia="仿宋" w:cs="Times New Roman"/>
          <w:b/>
          <w:color w:val="000000" w:themeColor="text1"/>
          <w:sz w:val="28"/>
          <w:szCs w:val="32"/>
          <w:shd w:val="clear" w:color="auto" w:fill="FFFFFF" w:themeFill="background1"/>
          <w14:textFill>
            <w14:solidFill>
              <w14:schemeClr w14:val="tx1"/>
            </w14:solidFill>
          </w14:textFill>
        </w:rPr>
      </w:pPr>
      <w:r>
        <w:rPr>
          <w:rFonts w:hint="eastAsia" w:ascii="Times New Roman" w:hAnsi="Times New Roman" w:eastAsia="仿宋" w:cs="Times New Roman"/>
          <w:b/>
          <w:color w:val="000000" w:themeColor="text1"/>
          <w:sz w:val="28"/>
          <w:szCs w:val="32"/>
          <w:shd w:val="clear" w:color="auto" w:fill="FFFFFF" w:themeFill="background1"/>
          <w14:textFill>
            <w14:solidFill>
              <w14:schemeClr w14:val="tx1"/>
            </w14:solidFill>
          </w14:textFill>
        </w:rPr>
        <w:t>项目编号：</w:t>
      </w:r>
      <w:bookmarkStart w:id="46" w:name="_Toc169332792"/>
      <w:bookmarkStart w:id="47" w:name="_Toc160880118"/>
      <w:bookmarkStart w:id="48" w:name="_Toc160880485"/>
      <w:r>
        <w:rPr>
          <w:rFonts w:hint="eastAsia" w:ascii="Times New Roman" w:hAnsi="Times New Roman" w:eastAsia="仿宋" w:cs="Times New Roman"/>
          <w:color w:val="000000" w:themeColor="text1"/>
          <w:sz w:val="28"/>
          <w:szCs w:val="32"/>
          <w:shd w:val="clear" w:color="auto" w:fill="FFFFFF" w:themeFill="background1"/>
          <w14:textFill>
            <w14:solidFill>
              <w14:schemeClr w14:val="tx1"/>
            </w14:solidFill>
          </w14:textFill>
        </w:rPr>
        <w:t>IFS-2023068</w:t>
      </w:r>
    </w:p>
    <w:p>
      <w:pPr>
        <w:pStyle w:val="55"/>
        <w:spacing w:line="360" w:lineRule="auto"/>
        <w:ind w:firstLine="1405" w:firstLineChars="500"/>
        <w:outlineLvl w:val="0"/>
        <w:rPr>
          <w:rFonts w:ascii="Times New Roman" w:eastAsia="仿宋"/>
          <w:b/>
          <w:color w:val="000000" w:themeColor="text1"/>
          <w:sz w:val="28"/>
          <w:szCs w:val="32"/>
          <w:shd w:val="clear" w:color="auto" w:fill="FFFFFF" w:themeFill="background1"/>
          <w14:textFill>
            <w14:solidFill>
              <w14:schemeClr w14:val="tx1"/>
            </w14:solidFill>
          </w14:textFill>
        </w:rPr>
      </w:pPr>
      <w:r>
        <w:rPr>
          <w:rFonts w:hint="eastAsia" w:ascii="Times New Roman" w:eastAsia="仿宋"/>
          <w:b/>
          <w:color w:val="000000" w:themeColor="text1"/>
          <w:sz w:val="28"/>
          <w:szCs w:val="32"/>
          <w:shd w:val="clear" w:color="auto" w:fill="FFFFFF" w:themeFill="background1"/>
          <w14:textFill>
            <w14:solidFill>
              <w14:schemeClr w14:val="tx1"/>
            </w14:solidFill>
          </w14:textFill>
        </w:rPr>
        <w:t>项目名称</w:t>
      </w:r>
      <w:bookmarkEnd w:id="46"/>
      <w:bookmarkEnd w:id="47"/>
      <w:bookmarkEnd w:id="48"/>
      <w:r>
        <w:rPr>
          <w:rFonts w:hint="eastAsia" w:ascii="Times New Roman" w:eastAsia="仿宋"/>
          <w:b/>
          <w:color w:val="000000" w:themeColor="text1"/>
          <w:sz w:val="28"/>
          <w:szCs w:val="32"/>
          <w:shd w:val="clear" w:color="auto" w:fill="FFFFFF" w:themeFill="background1"/>
          <w14:textFill>
            <w14:solidFill>
              <w14:schemeClr w14:val="tx1"/>
            </w14:solidFill>
          </w14:textFill>
        </w:rPr>
        <w:t>：重庆外语外事学院智能琴房管理系统采购项目</w:t>
      </w:r>
    </w:p>
    <w:p>
      <w:pPr>
        <w:pStyle w:val="55"/>
        <w:spacing w:line="360" w:lineRule="auto"/>
        <w:ind w:firstLine="1285" w:firstLineChars="400"/>
        <w:outlineLvl w:val="0"/>
        <w:rPr>
          <w:rFonts w:ascii="Times New Roman" w:eastAsia="仿宋"/>
          <w:b/>
          <w:color w:val="000000" w:themeColor="text1"/>
          <w:sz w:val="32"/>
          <w:szCs w:val="36"/>
          <w:shd w:val="clear" w:color="auto" w:fill="FFFFFF" w:themeFill="background1"/>
          <w14:textFill>
            <w14:solidFill>
              <w14:schemeClr w14:val="tx1"/>
            </w14:solidFill>
          </w14:textFill>
        </w:rPr>
      </w:pPr>
    </w:p>
    <w:p>
      <w:pPr>
        <w:pStyle w:val="55"/>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hint="eastAsia" w:ascii="仿宋" w:hAnsi="仿宋" w:eastAsia="仿宋"/>
          <w:b/>
          <w:color w:val="000000" w:themeColor="text1"/>
          <w:sz w:val="44"/>
          <w:szCs w:val="44"/>
          <w14:textFill>
            <w14:solidFill>
              <w14:schemeClr w14:val="tx1"/>
            </w14:solidFill>
          </w14:textFill>
        </w:rPr>
        <w:t>函</w:t>
      </w:r>
    </w:p>
    <w:p>
      <w:pPr>
        <w:spacing w:after="0" w:line="440" w:lineRule="exact"/>
        <w:ind w:firstLine="364" w:firstLineChars="152"/>
        <w:jc w:val="left"/>
        <w:rPr>
          <w:rFonts w:ascii="仿宋" w:hAnsi="仿宋" w:eastAsia="仿宋"/>
          <w:color w:val="000000" w:themeColor="text1"/>
          <w:sz w:val="24"/>
          <w:szCs w:val="24"/>
          <w14:textFill>
            <w14:solidFill>
              <w14:schemeClr w14:val="tx1"/>
            </w14:solidFill>
          </w14:textFill>
        </w:rPr>
      </w:pPr>
      <w:bookmarkStart w:id="49" w:name="_Hlk10840310"/>
      <w:r>
        <w:rPr>
          <w:rFonts w:hint="eastAsia" w:ascii="仿宋" w:hAnsi="仿宋" w:eastAsia="仿宋"/>
          <w:color w:val="000000" w:themeColor="text1"/>
          <w:sz w:val="24"/>
          <w:szCs w:val="24"/>
          <w14:textFill>
            <w14:solidFill>
              <w14:schemeClr w14:val="tx1"/>
            </w14:solidFill>
          </w14:textFill>
        </w:rPr>
        <w:t>重庆外语外事学院始建于2001年，是纳入国家普通高等教育招生计划、具有学士学位授予权的全日制普通本科高等学校。学校占地面积</w:t>
      </w:r>
      <w:r>
        <w:rPr>
          <w:rFonts w:ascii="仿宋" w:hAnsi="仿宋" w:eastAsia="仿宋"/>
          <w:color w:val="000000" w:themeColor="text1"/>
          <w:sz w:val="24"/>
          <w:szCs w:val="24"/>
          <w14:textFill>
            <w14:solidFill>
              <w14:schemeClr w14:val="tx1"/>
            </w14:solidFill>
          </w14:textFill>
        </w:rPr>
        <w:t>1572</w:t>
      </w:r>
      <w:r>
        <w:rPr>
          <w:rFonts w:hint="eastAsia" w:ascii="仿宋" w:hAnsi="仿宋" w:eastAsia="仿宋"/>
          <w:color w:val="000000" w:themeColor="text1"/>
          <w:sz w:val="24"/>
          <w:szCs w:val="24"/>
          <w14:textFill>
            <w14:solidFill>
              <w14:schemeClr w14:val="tx1"/>
            </w14:solidFill>
          </w14:textFill>
        </w:rPr>
        <w:t>亩，学生规模</w:t>
      </w:r>
      <w:r>
        <w:rPr>
          <w:rFonts w:ascii="仿宋" w:hAnsi="仿宋" w:eastAsia="仿宋"/>
          <w:color w:val="000000" w:themeColor="text1"/>
          <w:sz w:val="24"/>
          <w:szCs w:val="24"/>
          <w14:textFill>
            <w14:solidFill>
              <w14:schemeClr w14:val="tx1"/>
            </w14:solidFill>
          </w14:textFill>
        </w:rPr>
        <w:t>2.3</w:t>
      </w:r>
      <w:r>
        <w:rPr>
          <w:rFonts w:hint="eastAsia" w:ascii="仿宋" w:hAnsi="仿宋" w:eastAsia="仿宋"/>
          <w:color w:val="000000" w:themeColor="text1"/>
          <w:sz w:val="24"/>
          <w:szCs w:val="24"/>
          <w14:textFill>
            <w14:solidFill>
              <w14:schemeClr w14:val="tx1"/>
            </w14:solidFill>
          </w14:textFill>
        </w:rPr>
        <w:t>万余人。根据需要，对智能琴房管理系统采购项目进行公开询价，欢迎国内合格参与人参与。</w:t>
      </w:r>
    </w:p>
    <w:p>
      <w:pPr>
        <w:spacing w:after="0" w:line="440" w:lineRule="exact"/>
        <w:ind w:firstLine="366" w:firstLineChars="152"/>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一、项目说明</w:t>
      </w:r>
    </w:p>
    <w:p>
      <w:pPr>
        <w:widowControl w:val="0"/>
        <w:numPr>
          <w:ilvl w:val="1"/>
          <w:numId w:val="1"/>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项目编号：IFS-2023068</w:t>
      </w:r>
    </w:p>
    <w:p>
      <w:pPr>
        <w:widowControl w:val="0"/>
        <w:numPr>
          <w:ilvl w:val="255"/>
          <w:numId w:val="0"/>
        </w:numPr>
        <w:spacing w:after="0" w:line="440" w:lineRule="exact"/>
        <w:ind w:firstLine="42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项目名称：智能琴房管理系统采购项目</w:t>
      </w:r>
    </w:p>
    <w:p>
      <w:pPr>
        <w:numPr>
          <w:ilvl w:val="255"/>
          <w:numId w:val="0"/>
        </w:numPr>
        <w:spacing w:after="0" w:line="440" w:lineRule="exact"/>
        <w:ind w:firstLine="42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数量及主要技术要求:详见《公开询价项目介绍》</w:t>
      </w:r>
    </w:p>
    <w:p>
      <w:pPr>
        <w:widowControl w:val="0"/>
        <w:numPr>
          <w:ilvl w:val="255"/>
          <w:numId w:val="0"/>
        </w:numPr>
        <w:spacing w:after="0" w:line="440" w:lineRule="exact"/>
        <w:ind w:left="42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参与人资格标准：</w:t>
      </w:r>
    </w:p>
    <w:p>
      <w:pPr>
        <w:pStyle w:val="58"/>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参与人应具有独立法人资格的生产厂商或授权经销商。</w:t>
      </w:r>
    </w:p>
    <w:p>
      <w:pPr>
        <w:pStyle w:val="58"/>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参与人应具有合法有效的营业执照，应具有提供智能管理系统的资格与能力。</w:t>
      </w:r>
    </w:p>
    <w:p>
      <w:pPr>
        <w:pStyle w:val="58"/>
        <w:numPr>
          <w:ilvl w:val="0"/>
          <w:numId w:val="2"/>
        </w:numPr>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参与单位应成立3年以上，自2</w:t>
      </w:r>
      <w:r>
        <w:rPr>
          <w:rFonts w:ascii="仿宋" w:hAnsi="仿宋" w:eastAsia="仿宋"/>
          <w:color w:val="000000" w:themeColor="text1"/>
          <w:sz w:val="24"/>
          <w:szCs w:val="24"/>
          <w14:textFill>
            <w14:solidFill>
              <w14:schemeClr w14:val="tx1"/>
            </w14:solidFill>
          </w14:textFill>
        </w:rPr>
        <w:t>020</w:t>
      </w:r>
      <w:r>
        <w:rPr>
          <w:rFonts w:hint="eastAsia" w:ascii="仿宋" w:hAnsi="仿宋" w:eastAsia="仿宋"/>
          <w:color w:val="000000" w:themeColor="text1"/>
          <w:sz w:val="24"/>
          <w:szCs w:val="24"/>
          <w14:textFill>
            <w14:solidFill>
              <w14:schemeClr w14:val="tx1"/>
            </w14:solidFill>
          </w14:textFill>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pPr>
        <w:widowControl w:val="0"/>
        <w:tabs>
          <w:tab w:val="left" w:pos="839"/>
        </w:tabs>
        <w:spacing w:after="0" w:line="44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4</w:t>
      </w:r>
      <w:r>
        <w:rPr>
          <w:rFonts w:hint="eastAsia"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ab/>
      </w:r>
      <w:r>
        <w:rPr>
          <w:rFonts w:hint="eastAsia" w:ascii="仿宋" w:hAnsi="仿宋" w:eastAsia="仿宋"/>
          <w:color w:val="000000" w:themeColor="text1"/>
          <w:sz w:val="24"/>
          <w:szCs w:val="24"/>
          <w14:textFill>
            <w14:solidFill>
              <w14:schemeClr w14:val="tx1"/>
            </w14:solidFill>
          </w14:textFill>
        </w:rPr>
        <w:t>参与人有依法缴纳税金的良好记录。</w:t>
      </w:r>
    </w:p>
    <w:p>
      <w:pPr>
        <w:pStyle w:val="58"/>
        <w:widowControl w:val="0"/>
        <w:numPr>
          <w:ilvl w:val="0"/>
          <w:numId w:val="3"/>
        </w:numPr>
        <w:tabs>
          <w:tab w:val="left" w:pos="839"/>
        </w:tabs>
        <w:spacing w:after="0" w:line="44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参与人应提供下列资格证明文件，否则其响应文件将被拒绝：</w:t>
      </w:r>
    </w:p>
    <w:p>
      <w:pPr>
        <w:widowControl w:val="0"/>
        <w:tabs>
          <w:tab w:val="left" w:pos="839"/>
        </w:tabs>
        <w:spacing w:after="0" w:line="440" w:lineRule="exact"/>
        <w:ind w:left="839"/>
        <w:rPr>
          <w:rFonts w:ascii="Times New Roman" w:hAnsi="Times New Roman" w:eastAsia="仿宋"/>
          <w:color w:val="000000" w:themeColor="text1"/>
          <w:sz w:val="24"/>
          <w:szCs w:val="24"/>
          <w14:textFill>
            <w14:solidFill>
              <w14:schemeClr w14:val="tx1"/>
            </w14:solidFill>
          </w14:textFill>
        </w:rPr>
      </w:pPr>
      <w:r>
        <w:rPr>
          <w:rFonts w:hint="eastAsia" w:ascii="Times New Roman" w:hAnsi="Times New Roman" w:eastAsia="仿宋"/>
          <w:color w:val="000000" w:themeColor="text1"/>
          <w:sz w:val="24"/>
          <w:szCs w:val="24"/>
          <w14:textFill>
            <w14:solidFill>
              <w14:schemeClr w14:val="tx1"/>
            </w14:solidFill>
          </w14:textFill>
        </w:rPr>
        <w:t>营业执照副本、税务登记证副本、组织机构代码证副本（三证合一的只需要提供带有社会信用代码的营业执照）</w:t>
      </w:r>
    </w:p>
    <w:p>
      <w:pPr>
        <w:widowControl w:val="0"/>
        <w:tabs>
          <w:tab w:val="left" w:pos="839"/>
        </w:tabs>
        <w:spacing w:after="0" w:line="440" w:lineRule="exact"/>
        <w:ind w:left="839"/>
        <w:rPr>
          <w:rFonts w:ascii="仿宋" w:hAnsi="仿宋" w:eastAsia="仿宋"/>
          <w:color w:val="000000" w:themeColor="text1"/>
          <w:sz w:val="24"/>
          <w:szCs w:val="24"/>
          <w14:textFill>
            <w14:solidFill>
              <w14:schemeClr w14:val="tx1"/>
            </w14:solidFill>
          </w14:textFill>
        </w:rPr>
      </w:pPr>
      <w:r>
        <w:rPr>
          <w:rFonts w:hint="eastAsia" w:ascii="Times New Roman" w:hAnsi="Times New Roman" w:eastAsia="仿宋"/>
          <w:color w:val="000000" w:themeColor="text1"/>
          <w:sz w:val="24"/>
          <w:szCs w:val="24"/>
          <w14:textFill>
            <w14:solidFill>
              <w14:schemeClr w14:val="tx1"/>
            </w14:solidFill>
          </w14:textFill>
        </w:rPr>
        <w:t>注：参与人提交的以上要求的文件或证明的复印件应是最新（有效）、清晰，注明“与原件一致”并加盖参与人公章。</w:t>
      </w:r>
    </w:p>
    <w:p>
      <w:pPr>
        <w:spacing w:after="0" w:line="440" w:lineRule="exact"/>
        <w:ind w:left="1070" w:leftChars="322" w:hanging="362" w:hangingChars="151"/>
        <w:jc w:val="left"/>
        <w:rPr>
          <w:rFonts w:ascii="仿宋" w:hAnsi="仿宋" w:eastAsia="仿宋"/>
          <w:color w:val="000000" w:themeColor="text1"/>
          <w:sz w:val="24"/>
          <w:szCs w:val="24"/>
          <w:shd w:val="clear" w:color="auto" w:fill="FFFFFF"/>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报价响应文件递交方式：</w:t>
      </w:r>
      <w:r>
        <w:rPr>
          <w:rFonts w:hint="eastAsia" w:ascii="仿宋" w:hAnsi="仿宋" w:eastAsia="仿宋"/>
          <w:b/>
          <w:color w:val="000000" w:themeColor="text1"/>
          <w:sz w:val="24"/>
          <w:szCs w:val="24"/>
          <w14:textFill>
            <w14:solidFill>
              <w14:schemeClr w14:val="tx1"/>
            </w14:solidFill>
          </w14:textFill>
        </w:rPr>
        <w:t>密封报价，按规定时间送达或邮寄</w:t>
      </w:r>
      <w:r>
        <w:rPr>
          <w:rFonts w:hint="eastAsia" w:ascii="仿宋" w:hAnsi="仿宋" w:eastAsia="仿宋"/>
          <w:color w:val="000000" w:themeColor="text1"/>
          <w:sz w:val="24"/>
          <w:szCs w:val="24"/>
          <w14:textFill>
            <w14:solidFill>
              <w14:schemeClr w14:val="tx1"/>
            </w14:solidFill>
          </w14:textFill>
        </w:rPr>
        <w:t>（封面备注联系人和电话）</w:t>
      </w:r>
      <w:r>
        <w:rPr>
          <w:rFonts w:hint="eastAsia" w:ascii="仿宋" w:hAnsi="仿宋" w:eastAsia="仿宋"/>
          <w:b/>
          <w:color w:val="000000" w:themeColor="text1"/>
          <w:sz w:val="24"/>
          <w:szCs w:val="24"/>
          <w14:textFill>
            <w14:solidFill>
              <w14:schemeClr w14:val="tx1"/>
            </w14:solidFill>
          </w14:textFill>
        </w:rPr>
        <w:t>。</w:t>
      </w:r>
    </w:p>
    <w:p>
      <w:pPr>
        <w:spacing w:after="0" w:line="440" w:lineRule="exact"/>
        <w:ind w:left="1070" w:leftChars="322" w:hanging="362" w:hangingChars="151"/>
        <w:jc w:val="left"/>
        <w:rPr>
          <w:rFonts w:ascii="仿宋" w:hAnsi="仿宋" w:eastAsia="仿宋"/>
          <w:color w:val="000000" w:themeColor="text1"/>
          <w:sz w:val="24"/>
          <w:szCs w:val="24"/>
          <w:shd w:val="clear" w:color="auto" w:fill="FFFFFF"/>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6. </w:t>
      </w:r>
      <w:r>
        <w:rPr>
          <w:rFonts w:hint="eastAsia" w:ascii="仿宋" w:hAnsi="仿宋" w:eastAsia="仿宋"/>
          <w:color w:val="000000" w:themeColor="text1"/>
          <w:sz w:val="24"/>
          <w:szCs w:val="24"/>
          <w14:textFill>
            <w14:solidFill>
              <w14:schemeClr w14:val="tx1"/>
            </w14:solidFill>
          </w14:textFill>
        </w:rPr>
        <w:t>报价响应文件递交截止时间</w:t>
      </w:r>
      <w:r>
        <w:rPr>
          <w:rFonts w:hint="eastAsia" w:ascii="仿宋" w:hAnsi="仿宋" w:eastAsia="仿宋"/>
          <w:color w:val="000000" w:themeColor="text1"/>
          <w:sz w:val="24"/>
          <w:szCs w:val="24"/>
          <w:shd w:val="clear" w:color="auto" w:fill="FFFFFF"/>
          <w14:textFill>
            <w14:solidFill>
              <w14:schemeClr w14:val="tx1"/>
            </w14:solidFill>
          </w14:textFill>
        </w:rPr>
        <w:t>：202</w:t>
      </w:r>
      <w:r>
        <w:rPr>
          <w:rFonts w:ascii="仿宋" w:hAnsi="仿宋" w:eastAsia="仿宋"/>
          <w:color w:val="000000" w:themeColor="text1"/>
          <w:sz w:val="24"/>
          <w:szCs w:val="24"/>
          <w:shd w:val="clear" w:color="auto" w:fill="FFFFFF"/>
          <w14:textFill>
            <w14:solidFill>
              <w14:schemeClr w14:val="tx1"/>
            </w14:solidFill>
          </w14:textFill>
        </w:rPr>
        <w:t>3</w:t>
      </w:r>
      <w:r>
        <w:rPr>
          <w:rFonts w:hint="eastAsia" w:ascii="仿宋" w:hAnsi="仿宋" w:eastAsia="仿宋"/>
          <w:color w:val="000000" w:themeColor="text1"/>
          <w:sz w:val="24"/>
          <w:szCs w:val="24"/>
          <w:shd w:val="clear" w:color="auto" w:fill="FFFFFF"/>
          <w14:textFill>
            <w14:solidFill>
              <w14:schemeClr w14:val="tx1"/>
            </w14:solidFill>
          </w14:textFill>
        </w:rPr>
        <w:t>年10</w:t>
      </w:r>
      <w:r>
        <w:rPr>
          <w:rFonts w:ascii="仿宋" w:hAnsi="仿宋" w:eastAsia="仿宋"/>
          <w:color w:val="000000" w:themeColor="text1"/>
          <w:sz w:val="24"/>
          <w:szCs w:val="24"/>
          <w:shd w:val="clear" w:color="auto" w:fill="FFFFFF"/>
          <w14:textFill>
            <w14:solidFill>
              <w14:schemeClr w14:val="tx1"/>
            </w14:solidFill>
          </w14:textFill>
        </w:rPr>
        <w:t>月</w:t>
      </w:r>
      <w:r>
        <w:rPr>
          <w:rFonts w:hint="eastAsia" w:ascii="仿宋" w:hAnsi="仿宋" w:eastAsia="仿宋"/>
          <w:color w:val="000000" w:themeColor="text1"/>
          <w:sz w:val="24"/>
          <w:szCs w:val="24"/>
          <w:shd w:val="clear" w:color="auto" w:fill="FFFFFF"/>
          <w14:textFill>
            <w14:solidFill>
              <w14:schemeClr w14:val="tx1"/>
            </w14:solidFill>
          </w14:textFill>
        </w:rPr>
        <w:t>1</w:t>
      </w:r>
      <w:r>
        <w:rPr>
          <w:rFonts w:hint="eastAsia" w:ascii="仿宋" w:hAnsi="仿宋" w:eastAsia="仿宋"/>
          <w:color w:val="000000" w:themeColor="text1"/>
          <w:sz w:val="24"/>
          <w:szCs w:val="24"/>
          <w:shd w:val="clear" w:color="auto" w:fill="FFFFFF"/>
          <w:lang w:val="en-US" w:eastAsia="zh-CN"/>
          <w14:textFill>
            <w14:solidFill>
              <w14:schemeClr w14:val="tx1"/>
            </w14:solidFill>
          </w14:textFill>
        </w:rPr>
        <w:t>3</w:t>
      </w:r>
      <w:r>
        <w:rPr>
          <w:rFonts w:ascii="仿宋" w:hAnsi="仿宋" w:eastAsia="仿宋"/>
          <w:color w:val="000000" w:themeColor="text1"/>
          <w:sz w:val="24"/>
          <w:szCs w:val="24"/>
          <w:shd w:val="clear" w:color="auto" w:fill="FFFFFF"/>
          <w14:textFill>
            <w14:solidFill>
              <w14:schemeClr w14:val="tx1"/>
            </w14:solidFill>
          </w14:textFill>
        </w:rPr>
        <w:t>日</w:t>
      </w:r>
      <w:r>
        <w:rPr>
          <w:rFonts w:hint="eastAsia" w:ascii="仿宋" w:hAnsi="仿宋" w:eastAsia="仿宋"/>
          <w:color w:val="000000" w:themeColor="text1"/>
          <w:sz w:val="24"/>
          <w:szCs w:val="24"/>
          <w:shd w:val="clear" w:color="auto" w:fill="FFFFFF"/>
          <w14:textFill>
            <w14:solidFill>
              <w14:schemeClr w14:val="tx1"/>
            </w14:solidFill>
          </w14:textFill>
        </w:rPr>
        <w:t>下午</w:t>
      </w:r>
      <w:r>
        <w:rPr>
          <w:rFonts w:ascii="仿宋" w:hAnsi="仿宋" w:eastAsia="仿宋"/>
          <w:color w:val="000000" w:themeColor="text1"/>
          <w:sz w:val="24"/>
          <w:szCs w:val="24"/>
          <w:shd w:val="clear" w:color="auto" w:fill="FFFFFF"/>
          <w14:textFill>
            <w14:solidFill>
              <w14:schemeClr w14:val="tx1"/>
            </w14:solidFill>
          </w14:textFill>
        </w:rPr>
        <w:t>4</w:t>
      </w:r>
      <w:r>
        <w:rPr>
          <w:rFonts w:hint="eastAsia" w:ascii="仿宋" w:hAnsi="仿宋" w:eastAsia="仿宋"/>
          <w:color w:val="000000" w:themeColor="text1"/>
          <w:sz w:val="24"/>
          <w:szCs w:val="24"/>
          <w:shd w:val="clear" w:color="auto" w:fill="FFFFFF"/>
          <w14:textFill>
            <w14:solidFill>
              <w14:schemeClr w14:val="tx1"/>
            </w14:solidFill>
          </w14:textFill>
        </w:rPr>
        <w:t>:</w:t>
      </w:r>
      <w:r>
        <w:rPr>
          <w:rFonts w:ascii="仿宋" w:hAnsi="仿宋" w:eastAsia="仿宋"/>
          <w:color w:val="000000" w:themeColor="text1"/>
          <w:sz w:val="24"/>
          <w:szCs w:val="24"/>
          <w:shd w:val="clear" w:color="auto" w:fill="FFFFFF"/>
          <w14:textFill>
            <w14:solidFill>
              <w14:schemeClr w14:val="tx1"/>
            </w14:solidFill>
          </w14:textFill>
        </w:rPr>
        <w:t>00</w:t>
      </w:r>
      <w:r>
        <w:rPr>
          <w:rFonts w:hint="eastAsia" w:ascii="仿宋" w:hAnsi="仿宋" w:eastAsia="仿宋"/>
          <w:color w:val="000000" w:themeColor="text1"/>
          <w:sz w:val="24"/>
          <w:szCs w:val="24"/>
          <w:shd w:val="clear" w:color="auto" w:fill="FFFFFF"/>
          <w14:textFill>
            <w14:solidFill>
              <w14:schemeClr w14:val="tx1"/>
            </w14:solidFill>
          </w14:textFill>
        </w:rPr>
        <w:t>前。</w:t>
      </w:r>
    </w:p>
    <w:p>
      <w:pPr>
        <w:spacing w:after="0" w:line="440" w:lineRule="exact"/>
        <w:ind w:left="1070" w:leftChars="322" w:hanging="362" w:hangingChars="151"/>
        <w:jc w:val="left"/>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7. </w:t>
      </w:r>
      <w:r>
        <w:rPr>
          <w:rFonts w:hint="eastAsia" w:ascii="仿宋" w:hAnsi="仿宋" w:eastAsia="仿宋"/>
          <w:color w:val="000000" w:themeColor="text1"/>
          <w:sz w:val="24"/>
          <w:szCs w:val="24"/>
          <w14:textFill>
            <w14:solidFill>
              <w14:schemeClr w14:val="tx1"/>
            </w14:solidFill>
          </w14:textFill>
        </w:rPr>
        <w:t>报价响应文件递交地点：重庆市渝北区龙石路18号办公楼203室</w:t>
      </w:r>
    </w:p>
    <w:p>
      <w:pPr>
        <w:spacing w:after="0" w:line="440" w:lineRule="exact"/>
        <w:ind w:firstLine="1200" w:firstLineChars="500"/>
        <w:jc w:val="left"/>
        <w:rPr>
          <w:rFonts w:ascii="仿宋" w:hAnsi="仿宋" w:eastAsia="仿宋"/>
          <w:color w:val="000000" w:themeColor="text1"/>
          <w:sz w:val="24"/>
          <w:szCs w:val="24"/>
          <w:shd w:val="clear" w:color="auto" w:fill="FFFFFF"/>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联系人：蒲涛     联系电话：</w:t>
      </w:r>
      <w:r>
        <w:rPr>
          <w:rFonts w:ascii="仿宋" w:hAnsi="仿宋" w:eastAsia="仿宋"/>
          <w:color w:val="000000" w:themeColor="text1"/>
          <w:sz w:val="24"/>
          <w:szCs w:val="24"/>
          <w14:textFill>
            <w14:solidFill>
              <w14:schemeClr w14:val="tx1"/>
            </w14:solidFill>
          </w14:textFill>
        </w:rPr>
        <w:t>18311716936</w:t>
      </w:r>
    </w:p>
    <w:p>
      <w:pPr>
        <w:spacing w:after="0" w:line="440" w:lineRule="exact"/>
        <w:ind w:left="1070" w:leftChars="322" w:hanging="362" w:hangingChars="151"/>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8</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参加本项目的参与人如对公开询价邀请函列示内容存有疑问的，请在报价响应文件递交截止之日前，将问题以书面形式（有效签署的原件并加盖公章）提交至学校业务对接人，联系人：蒲涛，电话：</w:t>
      </w:r>
      <w:r>
        <w:rPr>
          <w:rFonts w:ascii="仿宋" w:hAnsi="仿宋" w:eastAsia="仿宋"/>
          <w:color w:val="000000" w:themeColor="text1"/>
          <w:sz w:val="24"/>
          <w:szCs w:val="24"/>
          <w14:textFill>
            <w14:solidFill>
              <w14:schemeClr w14:val="tx1"/>
            </w14:solidFill>
          </w14:textFill>
        </w:rPr>
        <w:t>18311716936</w:t>
      </w:r>
      <w:r>
        <w:rPr>
          <w:rFonts w:hint="eastAsia" w:ascii="仿宋" w:hAnsi="仿宋" w:eastAsia="仿宋"/>
          <w:color w:val="000000" w:themeColor="text1"/>
          <w:sz w:val="24"/>
          <w:szCs w:val="24"/>
          <w14:textFill>
            <w14:solidFill>
              <w14:schemeClr w14:val="tx1"/>
            </w14:solidFill>
          </w14:textFill>
        </w:rPr>
        <w:t>。采购人不对超时提交及未加盖公章的质疑文件进行回复。</w:t>
      </w:r>
    </w:p>
    <w:p>
      <w:pPr>
        <w:spacing w:after="0" w:line="440" w:lineRule="exact"/>
        <w:ind w:left="1070" w:leftChars="322" w:hanging="362" w:hangingChars="151"/>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9</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本项目最终成交结果会在中教集团后勤贤知平台“中标信息公示”板块公示，网址：</w:t>
      </w:r>
      <w:r>
        <w:fldChar w:fldCharType="begin"/>
      </w:r>
      <w:r>
        <w:instrText xml:space="preserve"> HYPERLINK "http://www.ceghqxz.com" </w:instrText>
      </w:r>
      <w:r>
        <w:fldChar w:fldCharType="separate"/>
      </w:r>
      <w:r>
        <w:rPr>
          <w:rStyle w:val="31"/>
          <w:rFonts w:hint="eastAsia" w:ascii="仿宋" w:hAnsi="仿宋" w:eastAsia="仿宋"/>
          <w:color w:val="000000" w:themeColor="text1"/>
          <w14:textFill>
            <w14:solidFill>
              <w14:schemeClr w14:val="tx1"/>
            </w14:solidFill>
          </w14:textFill>
        </w:rPr>
        <w:t>www.ceghqxz.com</w:t>
      </w:r>
      <w:r>
        <w:rPr>
          <w:rStyle w:val="31"/>
          <w:rFonts w:hint="eastAsia" w:ascii="仿宋" w:hAnsi="仿宋" w:eastAsia="仿宋"/>
          <w:color w:val="000000" w:themeColor="text1"/>
          <w14:textFill>
            <w14:solidFill>
              <w14:schemeClr w14:val="tx1"/>
            </w14:solidFill>
          </w14:textFill>
        </w:rPr>
        <w:fldChar w:fldCharType="end"/>
      </w:r>
      <w:r>
        <w:rPr>
          <w:rFonts w:hint="eastAsia" w:ascii="仿宋" w:hAnsi="仿宋" w:eastAsia="仿宋"/>
          <w:color w:val="000000" w:themeColor="text1"/>
          <w:sz w:val="24"/>
          <w:szCs w:val="24"/>
          <w14:textFill>
            <w14:solidFill>
              <w14:schemeClr w14:val="tx1"/>
            </w14:solidFill>
          </w14:textFill>
        </w:rPr>
        <w:t>。参加本项目的参与人如对</w:t>
      </w:r>
      <w:r>
        <w:rPr>
          <w:rFonts w:hint="eastAsia" w:ascii="仿宋" w:hAnsi="仿宋" w:eastAsia="仿宋"/>
          <w:b/>
          <w:bCs/>
          <w:color w:val="000000" w:themeColor="text1"/>
          <w:sz w:val="24"/>
          <w:szCs w:val="24"/>
          <w14:textFill>
            <w14:solidFill>
              <w14:schemeClr w14:val="tx1"/>
            </w14:solidFill>
          </w14:textFill>
        </w:rPr>
        <w:t>采购过程和成交结果有异议的，</w:t>
      </w:r>
      <w:r>
        <w:rPr>
          <w:rFonts w:hint="eastAsia" w:ascii="仿宋" w:hAnsi="仿宋" w:eastAsia="仿宋"/>
          <w:color w:val="000000" w:themeColor="text1"/>
          <w:sz w:val="24"/>
          <w:szCs w:val="24"/>
          <w14:textFill>
            <w14:solidFill>
              <w14:schemeClr w14:val="tx1"/>
            </w14:solidFill>
          </w14:textFill>
        </w:rPr>
        <w:t>请以书面形式（有效签署的原件并加盖公章），并附有相关的证据材料，提交至集团监审部。投诉受理部门：中教集团监审部，投诉电话：0791-88106510/0791-88102608</w:t>
      </w:r>
    </w:p>
    <w:p>
      <w:pPr>
        <w:widowControl w:val="0"/>
        <w:tabs>
          <w:tab w:val="left" w:pos="839"/>
        </w:tabs>
        <w:spacing w:after="0" w:line="440" w:lineRule="exact"/>
        <w:ind w:left="420"/>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二、参与人须知</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所有项目均以人民币报价；</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shd w:val="clear" w:color="auto" w:fill="FFFFFF" w:themeFill="background1"/>
          <w14:textFill>
            <w14:solidFill>
              <w14:schemeClr w14:val="tx1"/>
            </w14:solidFill>
          </w14:textFill>
        </w:rPr>
        <w:t>报价响应文件3份，报价响应文件必须用A4幅面纸张打印，须由参与人填写并加盖公章（正本1份、副本2份）</w:t>
      </w:r>
      <w:r>
        <w:rPr>
          <w:rFonts w:hint="eastAsia" w:ascii="仿宋" w:hAnsi="仿宋" w:eastAsia="仿宋"/>
          <w:color w:val="000000" w:themeColor="text1"/>
          <w:sz w:val="24"/>
          <w:szCs w:val="24"/>
          <w14:textFill>
            <w14:solidFill>
              <w14:schemeClr w14:val="tx1"/>
            </w14:solidFill>
          </w14:textFill>
        </w:rPr>
        <w:t>，须由参与人填写并加盖公章；</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报价响应文件用不退色墨水书写或打印，因字迹潦草或表达不清所引起的后果由参与人自负；</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报价响应文件及所有相关资料需同时进行密封处理，并在密封处加盖公章，未做密封处理及未加盖公章的视为无效报价；</w:t>
      </w:r>
    </w:p>
    <w:p>
      <w:pPr>
        <w:widowControl w:val="0"/>
        <w:numPr>
          <w:ilvl w:val="1"/>
          <w:numId w:val="4"/>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一个参与人只能提交一个报价响应文件，本项目不接受联合体报价。</w:t>
      </w:r>
    </w:p>
    <w:p>
      <w:pPr>
        <w:spacing w:after="0" w:line="440" w:lineRule="exact"/>
        <w:ind w:firstLine="366" w:firstLineChars="152"/>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三、售后服务要求</w:t>
      </w:r>
    </w:p>
    <w:p>
      <w:pPr>
        <w:widowControl w:val="0"/>
        <w:spacing w:after="0" w:line="440" w:lineRule="exact"/>
        <w:ind w:left="426"/>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1.</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免费保修期；36个月（质保金5</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，质保期满后支付）；</w:t>
      </w:r>
    </w:p>
    <w:p>
      <w:pPr>
        <w:widowControl w:val="0"/>
        <w:spacing w:after="0" w:line="440" w:lineRule="exact"/>
        <w:ind w:left="426"/>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交货时间：2</w:t>
      </w:r>
      <w:r>
        <w:rPr>
          <w:rFonts w:ascii="仿宋" w:hAnsi="仿宋" w:eastAsia="仿宋"/>
          <w:color w:val="000000" w:themeColor="text1"/>
          <w:sz w:val="24"/>
          <w:szCs w:val="24"/>
          <w14:textFill>
            <w14:solidFill>
              <w14:schemeClr w14:val="tx1"/>
            </w14:solidFill>
          </w14:textFill>
        </w:rPr>
        <w:t>023</w:t>
      </w:r>
      <w:r>
        <w:rPr>
          <w:rFonts w:hint="eastAsia" w:ascii="仿宋" w:hAnsi="仿宋" w:eastAsia="仿宋"/>
          <w:color w:val="000000" w:themeColor="text1"/>
          <w:sz w:val="24"/>
          <w:szCs w:val="24"/>
          <w14:textFill>
            <w14:solidFill>
              <w14:schemeClr w14:val="tx1"/>
            </w14:solidFill>
          </w14:textFill>
        </w:rPr>
        <w:t>年</w:t>
      </w:r>
      <w:r>
        <w:rPr>
          <w:rFonts w:hint="eastAsia" w:ascii="仿宋" w:hAnsi="仿宋" w:eastAsia="仿宋"/>
          <w:color w:val="000000" w:themeColor="text1"/>
          <w:sz w:val="24"/>
          <w:szCs w:val="24"/>
          <w:lang w:val="en-US" w:eastAsia="zh-CN"/>
          <w14:textFill>
            <w14:solidFill>
              <w14:schemeClr w14:val="tx1"/>
            </w14:solidFill>
          </w14:textFill>
        </w:rPr>
        <w:t>12</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lang w:val="en-US" w:eastAsia="zh-CN"/>
          <w14:textFill>
            <w14:solidFill>
              <w14:schemeClr w14:val="tx1"/>
            </w14:solidFill>
          </w14:textFill>
        </w:rPr>
        <w:t>10</w:t>
      </w:r>
      <w:r>
        <w:rPr>
          <w:rFonts w:hint="eastAsia" w:ascii="仿宋" w:hAnsi="仿宋" w:eastAsia="仿宋"/>
          <w:color w:val="000000" w:themeColor="text1"/>
          <w:sz w:val="24"/>
          <w:szCs w:val="24"/>
          <w14:textFill>
            <w14:solidFill>
              <w14:schemeClr w14:val="tx1"/>
            </w14:solidFill>
          </w14:textFill>
        </w:rPr>
        <w:t>日前，</w:t>
      </w:r>
      <w:r>
        <w:rPr>
          <w:rFonts w:hint="eastAsia" w:ascii="仿宋" w:hAnsi="仿宋" w:eastAsia="仿宋"/>
          <w:color w:val="000000" w:themeColor="text1"/>
          <w:sz w:val="24"/>
          <w:szCs w:val="24"/>
          <w:lang w:val="en-US" w:eastAsia="zh-CN"/>
          <w14:textFill>
            <w14:solidFill>
              <w14:schemeClr w14:val="tx1"/>
            </w14:solidFill>
          </w14:textFill>
        </w:rPr>
        <w:t>12</w:t>
      </w:r>
      <w:r>
        <w:rPr>
          <w:rFonts w:hint="eastAsia" w:ascii="仿宋" w:hAnsi="仿宋" w:eastAsia="仿宋"/>
          <w:color w:val="000000" w:themeColor="text1"/>
          <w:sz w:val="24"/>
          <w:szCs w:val="24"/>
          <w14:textFill>
            <w14:solidFill>
              <w14:schemeClr w14:val="tx1"/>
            </w14:solidFill>
          </w14:textFill>
        </w:rPr>
        <w:t>月15日前完成安装。</w:t>
      </w:r>
    </w:p>
    <w:p>
      <w:pPr>
        <w:widowControl w:val="0"/>
        <w:spacing w:after="0" w:line="440" w:lineRule="exact"/>
        <w:ind w:left="426"/>
        <w:jc w:val="left"/>
        <w:rPr>
          <w:rFonts w:ascii="Times New Roman" w:hAnsi="Times New Roman"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3</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应急维修时间安排：</w:t>
      </w:r>
      <w:r>
        <w:rPr>
          <w:rFonts w:hint="eastAsia" w:ascii="Times New Roman" w:hAnsi="Times New Roman" w:eastAsia="仿宋"/>
          <w:color w:val="000000" w:themeColor="text1"/>
          <w:sz w:val="24"/>
          <w:szCs w:val="24"/>
          <w14:textFill>
            <w14:solidFill>
              <w14:schemeClr w14:val="tx1"/>
            </w14:solidFill>
          </w14:textFill>
        </w:rPr>
        <w:t>2小时内给予回复，并在2</w:t>
      </w:r>
      <w:r>
        <w:rPr>
          <w:rFonts w:ascii="Times New Roman" w:hAnsi="Times New Roman" w:eastAsia="仿宋"/>
          <w:color w:val="000000" w:themeColor="text1"/>
          <w:sz w:val="24"/>
          <w:szCs w:val="24"/>
          <w14:textFill>
            <w14:solidFill>
              <w14:schemeClr w14:val="tx1"/>
            </w14:solidFill>
          </w14:textFill>
        </w:rPr>
        <w:t>4</w:t>
      </w:r>
      <w:r>
        <w:rPr>
          <w:rFonts w:hint="eastAsia" w:ascii="Times New Roman" w:hAnsi="Times New Roman" w:eastAsia="仿宋"/>
          <w:color w:val="000000" w:themeColor="text1"/>
          <w:sz w:val="24"/>
          <w:szCs w:val="24"/>
          <w14:textFill>
            <w14:solidFill>
              <w14:schemeClr w14:val="tx1"/>
            </w14:solidFill>
          </w14:textFill>
        </w:rPr>
        <w:t>小时内完成维修。</w:t>
      </w:r>
    </w:p>
    <w:p>
      <w:pPr>
        <w:spacing w:after="0" w:line="440" w:lineRule="exact"/>
        <w:ind w:firstLine="366" w:firstLineChars="152"/>
        <w:jc w:val="left"/>
        <w:rPr>
          <w:rFonts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四、确定成交参与人标准及原则：</w:t>
      </w:r>
    </w:p>
    <w:p>
      <w:pPr>
        <w:pStyle w:val="58"/>
        <w:numPr>
          <w:ilvl w:val="0"/>
          <w:numId w:val="5"/>
        </w:numPr>
        <w:spacing w:after="0" w:line="44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本项目为自有资金而非财政性资金采购，采购人按企业内部规定的标准进行评定。</w:t>
      </w:r>
    </w:p>
    <w:p>
      <w:pPr>
        <w:pStyle w:val="58"/>
        <w:numPr>
          <w:ilvl w:val="0"/>
          <w:numId w:val="5"/>
        </w:numPr>
        <w:spacing w:after="0" w:line="44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参与人所投项目符合需求、质量和服务等的要求,经过磋商所报价格为合理价格的参与人为成交参与人。</w:t>
      </w:r>
    </w:p>
    <w:p>
      <w:pPr>
        <w:pStyle w:val="58"/>
        <w:numPr>
          <w:ilvl w:val="0"/>
          <w:numId w:val="5"/>
        </w:numPr>
        <w:spacing w:after="0" w:line="440" w:lineRule="exact"/>
        <w:ind w:left="851" w:hanging="425" w:firstLineChars="0"/>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最低报价不作为成交的保证。</w:t>
      </w:r>
    </w:p>
    <w:p>
      <w:pPr>
        <w:spacing w:after="0" w:line="500" w:lineRule="exact"/>
        <w:rPr>
          <w:rFonts w:ascii="仿宋" w:hAnsi="仿宋" w:eastAsia="仿宋"/>
          <w:color w:val="000000" w:themeColor="text1"/>
          <w:sz w:val="24"/>
          <w:szCs w:val="24"/>
          <w14:textFill>
            <w14:solidFill>
              <w14:schemeClr w14:val="tx1"/>
            </w14:solidFill>
          </w14:textFill>
        </w:rPr>
      </w:pPr>
    </w:p>
    <w:p>
      <w:pPr>
        <w:spacing w:after="0" w:line="500" w:lineRule="exact"/>
        <w:rPr>
          <w:rFonts w:ascii="仿宋" w:hAnsi="仿宋" w:eastAsia="仿宋"/>
          <w:color w:val="000000" w:themeColor="text1"/>
          <w:sz w:val="24"/>
          <w:szCs w:val="24"/>
          <w14:textFill>
            <w14:solidFill>
              <w14:schemeClr w14:val="tx1"/>
            </w14:solidFill>
          </w14:textFill>
        </w:rPr>
      </w:pPr>
    </w:p>
    <w:p>
      <w:pPr>
        <w:spacing w:after="0" w:line="500" w:lineRule="exact"/>
        <w:rPr>
          <w:rFonts w:ascii="仿宋" w:hAnsi="仿宋" w:eastAsia="仿宋"/>
          <w:color w:val="000000" w:themeColor="text1"/>
          <w:sz w:val="24"/>
          <w:szCs w:val="24"/>
          <w14:textFill>
            <w14:solidFill>
              <w14:schemeClr w14:val="tx1"/>
            </w14:solidFill>
          </w14:textFill>
        </w:rPr>
      </w:pPr>
    </w:p>
    <w:p>
      <w:pPr>
        <w:spacing w:after="0" w:line="500" w:lineRule="exact"/>
        <w:jc w:val="righ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重庆外语外事学院</w:t>
      </w:r>
    </w:p>
    <w:p>
      <w:pPr>
        <w:spacing w:after="0" w:line="500" w:lineRule="exact"/>
        <w:jc w:val="right"/>
        <w:rPr>
          <w:rFonts w:ascii="仿宋" w:hAnsi="仿宋" w:eastAsia="仿宋"/>
          <w:b/>
          <w:color w:val="000000" w:themeColor="text1"/>
          <w:sz w:val="36"/>
          <w:szCs w:val="36"/>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202</w:t>
      </w:r>
      <w:r>
        <w:rPr>
          <w:rFonts w:ascii="仿宋" w:hAnsi="仿宋" w:eastAsia="仿宋"/>
          <w:color w:val="000000" w:themeColor="text1"/>
          <w:sz w:val="24"/>
          <w:szCs w:val="24"/>
          <w14:textFill>
            <w14:solidFill>
              <w14:schemeClr w14:val="tx1"/>
            </w14:solidFill>
          </w14:textFill>
        </w:rPr>
        <w:t>3</w:t>
      </w:r>
      <w:r>
        <w:rPr>
          <w:rFonts w:hint="eastAsia" w:ascii="仿宋" w:hAnsi="仿宋" w:eastAsia="仿宋"/>
          <w:color w:val="000000" w:themeColor="text1"/>
          <w:sz w:val="24"/>
          <w:szCs w:val="24"/>
          <w14:textFill>
            <w14:solidFill>
              <w14:schemeClr w14:val="tx1"/>
            </w14:solidFill>
          </w14:textFill>
        </w:rPr>
        <w:t>年10月0</w:t>
      </w:r>
      <w:r>
        <w:rPr>
          <w:rFonts w:hint="eastAsia" w:ascii="仿宋" w:hAnsi="仿宋" w:eastAsia="仿宋"/>
          <w:color w:val="000000" w:themeColor="text1"/>
          <w:sz w:val="24"/>
          <w:szCs w:val="24"/>
          <w:lang w:val="en-US" w:eastAsia="zh-CN"/>
          <w14:textFill>
            <w14:solidFill>
              <w14:schemeClr w14:val="tx1"/>
            </w14:solidFill>
          </w14:textFill>
        </w:rPr>
        <w:t>9</w:t>
      </w:r>
      <w:r>
        <w:rPr>
          <w:rFonts w:hint="eastAsia" w:ascii="仿宋" w:hAnsi="仿宋" w:eastAsia="仿宋"/>
          <w:color w:val="000000" w:themeColor="text1"/>
          <w:sz w:val="24"/>
          <w:szCs w:val="24"/>
          <w14:textFill>
            <w14:solidFill>
              <w14:schemeClr w14:val="tx1"/>
            </w14:solidFill>
          </w14:textFill>
        </w:rPr>
        <w:t>日</w:t>
      </w:r>
      <w:bookmarkEnd w:id="49"/>
    </w:p>
    <w:p>
      <w:pPr>
        <w:spacing w:line="420" w:lineRule="exact"/>
        <w:jc w:val="center"/>
        <w:rPr>
          <w:rFonts w:ascii="仿宋" w:hAnsi="仿宋" w:eastAsia="仿宋"/>
          <w:b/>
          <w:color w:val="000000" w:themeColor="text1"/>
          <w:sz w:val="36"/>
          <w:szCs w:val="36"/>
          <w14:textFill>
            <w14:solidFill>
              <w14:schemeClr w14:val="tx1"/>
            </w14:solidFill>
          </w14:textFill>
        </w:rPr>
      </w:pPr>
    </w:p>
    <w:p>
      <w:pPr>
        <w:spacing w:line="420" w:lineRule="exact"/>
        <w:jc w:val="center"/>
        <w:rPr>
          <w:rFonts w:hint="eastAsia" w:ascii="仿宋" w:hAnsi="仿宋" w:eastAsia="仿宋"/>
          <w:b/>
          <w:color w:val="000000" w:themeColor="text1"/>
          <w:sz w:val="36"/>
          <w:szCs w:val="36"/>
          <w14:textFill>
            <w14:solidFill>
              <w14:schemeClr w14:val="tx1"/>
            </w14:solidFill>
          </w14:textFill>
        </w:rPr>
      </w:pPr>
    </w:p>
    <w:p>
      <w:pPr>
        <w:spacing w:line="420" w:lineRule="exact"/>
        <w:jc w:val="center"/>
        <w:rPr>
          <w:rFonts w:ascii="仿宋" w:hAnsi="仿宋" w:eastAsia="仿宋"/>
          <w:bCs/>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公开询价货物一览表</w:t>
      </w:r>
    </w:p>
    <w:tbl>
      <w:tblPr>
        <w:tblStyle w:val="27"/>
        <w:tblpPr w:leftFromText="180" w:rightFromText="180" w:vertAnchor="text" w:horzAnchor="page" w:tblpX="1142" w:tblpY="579"/>
        <w:tblOverlap w:val="never"/>
        <w:tblW w:w="9877" w:type="dxa"/>
        <w:tblInd w:w="0" w:type="dxa"/>
        <w:tblLayout w:type="fixed"/>
        <w:tblCellMar>
          <w:top w:w="0" w:type="dxa"/>
          <w:left w:w="108" w:type="dxa"/>
          <w:bottom w:w="0" w:type="dxa"/>
          <w:right w:w="108" w:type="dxa"/>
        </w:tblCellMar>
      </w:tblPr>
      <w:tblGrid>
        <w:gridCol w:w="618"/>
        <w:gridCol w:w="1532"/>
        <w:gridCol w:w="4213"/>
        <w:gridCol w:w="618"/>
        <w:gridCol w:w="618"/>
        <w:gridCol w:w="618"/>
        <w:gridCol w:w="618"/>
        <w:gridCol w:w="1042"/>
      </w:tblGrid>
      <w:tr>
        <w:tblPrEx>
          <w:tblCellMar>
            <w:top w:w="0" w:type="dxa"/>
            <w:left w:w="108" w:type="dxa"/>
            <w:bottom w:w="0" w:type="dxa"/>
            <w:right w:w="108" w:type="dxa"/>
          </w:tblCellMar>
        </w:tblPrEx>
        <w:trPr>
          <w:trHeight w:val="23" w:hRule="atLeast"/>
        </w:trPr>
        <w:tc>
          <w:tcPr>
            <w:tcW w:w="618" w:type="dxa"/>
            <w:tcBorders>
              <w:top w:val="single" w:color="auto" w:sz="4" w:space="0"/>
              <w:left w:val="single" w:color="auto" w:sz="4" w:space="0"/>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序号</w:t>
            </w:r>
          </w:p>
        </w:tc>
        <w:tc>
          <w:tcPr>
            <w:tcW w:w="1532"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设备名称</w:t>
            </w:r>
          </w:p>
        </w:tc>
        <w:tc>
          <w:tcPr>
            <w:tcW w:w="4213"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规格型号（技术参数）</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数量</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单位</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单价</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金额</w:t>
            </w:r>
          </w:p>
        </w:tc>
        <w:tc>
          <w:tcPr>
            <w:tcW w:w="1042"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备注</w:t>
            </w:r>
          </w:p>
        </w:tc>
      </w:tr>
      <w:tr>
        <w:tblPrEx>
          <w:tblCellMar>
            <w:top w:w="0" w:type="dxa"/>
            <w:left w:w="108" w:type="dxa"/>
            <w:bottom w:w="0" w:type="dxa"/>
            <w:right w:w="108" w:type="dxa"/>
          </w:tblCellMar>
        </w:tblPrEx>
        <w:trPr>
          <w:trHeight w:val="23" w:hRule="atLeast"/>
        </w:trPr>
        <w:tc>
          <w:tcPr>
            <w:tcW w:w="6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1</w:t>
            </w:r>
          </w:p>
        </w:tc>
        <w:tc>
          <w:tcPr>
            <w:tcW w:w="15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智能琴房管理系统</w:t>
            </w:r>
          </w:p>
        </w:tc>
        <w:tc>
          <w:tcPr>
            <w:tcW w:w="4213" w:type="dxa"/>
            <w:tcBorders>
              <w:top w:val="single" w:color="auto" w:sz="4" w:space="0"/>
              <w:left w:val="nil"/>
              <w:bottom w:val="single" w:color="auto" w:sz="4" w:space="0"/>
              <w:right w:val="single" w:color="auto" w:sz="4" w:space="0"/>
            </w:tcBorders>
            <w:shd w:val="clear" w:color="auto" w:fill="auto"/>
            <w:vAlign w:val="center"/>
          </w:tcPr>
          <w:p>
            <w:pPr>
              <w:numPr>
                <w:ilvl w:val="0"/>
                <w:numId w:val="6"/>
              </w:numPr>
              <w:spacing w:after="0" w:line="360" w:lineRule="auto"/>
              <w:jc w:val="left"/>
              <w:outlineLvl w:val="1"/>
              <w:rPr>
                <w:rFonts w:hint="eastAsia" w:ascii="仿宋" w:hAnsi="仿宋" w:eastAsia="仿宋" w:cs="仿宋"/>
                <w:b w:val="0"/>
                <w:bCs w:val="0"/>
                <w:sz w:val="20"/>
                <w:szCs w:val="20"/>
              </w:rPr>
            </w:pPr>
            <w:bookmarkStart w:id="50" w:name="_Toc26543"/>
            <w:r>
              <w:rPr>
                <w:rFonts w:hint="eastAsia" w:ascii="仿宋" w:hAnsi="仿宋" w:eastAsia="仿宋" w:cs="仿宋"/>
                <w:b w:val="0"/>
                <w:bCs w:val="0"/>
                <w:sz w:val="20"/>
                <w:szCs w:val="20"/>
              </w:rPr>
              <w:t>Web端功能</w:t>
            </w:r>
            <w:bookmarkEnd w:id="50"/>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1、琴房管理</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可以对琴房的基本信息进行管理。可以查看、修改和删除，选择已导入成功的课程，以便明确琴房与课程的关联关系。如琴房名称、所在楼栋、楼层、房间号，课程信息、备注内容等。</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2、课程管理</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课程列表：可以下载课程导入模板，上传表格导入学生的专业课程表到系统。导入成功后展示课程的课程名称、课程时间段等相关信息。</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3、预约规则设置</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对琴房的通用预约规则进行管理。如预约时段为上午8:00-12:00，中午12:00-14:00，下午14:00-18:00，晚上18:00-21:00使用时长为2小时、每天可预约次数为1次等。</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4、预约订单查询</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可以查看所有学生的预约订单信息。可通过学生姓名、琴房名称、订单状态等条件进行筛选，订单内容包括：琴房信息（琴房名称、所在楼栋、楼层、房间号，钢琴信息、备注内容）、琴房使用状态、预约人信息（账户名称、微信号等、专业名称、年级、课程名称）、预约时间、剩余使用时间、使用信息（使用开始时间、使用结束时间）等。</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5、账号管理</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可以对系统里面的账号进行增行改查、重置密码等操作。可以添加使用预约系统的用户基本信息，通过账户名称进行查询，可以设置登录账户、登录名称、选择账户类型（教职工、学生），选择年级、选择专业，明确学生与年级、专业的关联关系。学生可以通过账户+密码，登录系统小程序进行琴房查询、琴房预约等操作。</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6、琴房使用分析</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通过AI大数据进行统计分析和特征分布，可以分析出琴房的使用时段分布、琴房的使用率占比、学生的琴房使用时长等数据，有利于高校调节学生用琴矛盾，提高琴房的有效调度。</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7、系统设置</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数据字典：可以自定义配置年级、专业等数据，为管理功能的关联做数据支撑</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系统日志：对使用系统的用户操作日志进行统计，可以进行查询。</w:t>
            </w:r>
          </w:p>
          <w:p>
            <w:pPr>
              <w:numPr>
                <w:ilvl w:val="0"/>
                <w:numId w:val="6"/>
              </w:numPr>
              <w:spacing w:after="0" w:line="360" w:lineRule="auto"/>
              <w:jc w:val="left"/>
              <w:outlineLvl w:val="1"/>
              <w:rPr>
                <w:rFonts w:hint="eastAsia" w:ascii="仿宋" w:hAnsi="仿宋" w:eastAsia="仿宋" w:cs="仿宋"/>
                <w:b w:val="0"/>
                <w:bCs w:val="0"/>
                <w:sz w:val="20"/>
                <w:szCs w:val="20"/>
              </w:rPr>
            </w:pPr>
            <w:bookmarkStart w:id="51" w:name="_Toc7170"/>
            <w:r>
              <w:rPr>
                <w:rFonts w:hint="eastAsia" w:ascii="仿宋" w:hAnsi="仿宋" w:eastAsia="仿宋" w:cs="仿宋"/>
                <w:b w:val="0"/>
                <w:bCs w:val="0"/>
                <w:sz w:val="20"/>
                <w:szCs w:val="20"/>
              </w:rPr>
              <w:t>移动端功能</w:t>
            </w:r>
            <w:bookmarkEnd w:id="51"/>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8、登录授权</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使用登录账户、密码，登录小程序，使用预约系统进行琴房预约。</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9、琴房查询</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学生登录到系统后，可以通过查询列表看到当前琴房的数量和状态，是否有空闲，然后通过琴房使用状态的展示，选中可预约的琴房，下单预约。</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10、预约琴房</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在琴房列表界面里，学生只能查看自己专业、课程的尚无人使用的琴房，点击预约按钮，可以把琴房加入预约订单里面进行琴房的预约，预约信息上传至服务器，成功后系统自动下发预约成功的订单信息。</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11、上琴登记</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预约用户在预约的时间到达已预约的琴房，并点击小程序上进行上琴登记，系统自动连接服务器，验证成功后，同时系统开始记录琴房已经有人使用，并且开始计时。上琴时，若未手动登记上琴，根据预约开始时间判断，超过当前时间，则自动开始计时。</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12、下琴签退</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预约用户在预约时间内，使用完琴房以后，可以点击下琴签退离开琴房，系统会记录琴房处于空闲状态，方便其他人预约。系统也会根据使用结束时间判断是否超时，超时后琴房会自动更新为下琴签退，使琴房处于空闲状态，减少琴房长时间被占用。</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13、预约订单查询</w:t>
            </w:r>
          </w:p>
          <w:p>
            <w:pPr>
              <w:spacing w:after="0"/>
              <w:jc w:val="left"/>
              <w:rPr>
                <w:rFonts w:hint="eastAsia" w:ascii="仿宋" w:hAnsi="仿宋" w:eastAsia="仿宋" w:cs="仿宋"/>
                <w:b w:val="0"/>
                <w:bCs w:val="0"/>
                <w:color w:val="000000"/>
                <w:sz w:val="20"/>
                <w:szCs w:val="20"/>
              </w:rPr>
            </w:pPr>
            <w:r>
              <w:rPr>
                <w:rFonts w:hint="eastAsia" w:ascii="仿宋" w:hAnsi="仿宋" w:eastAsia="仿宋" w:cs="仿宋"/>
                <w:b w:val="0"/>
                <w:bCs w:val="0"/>
                <w:sz w:val="20"/>
                <w:szCs w:val="20"/>
              </w:rPr>
              <w:t>可以查看个人账户下的所有预约订单信息。可通过琴房名称、订单状态等条件进行筛选，订单内容包括：琴房信息（琴房名称、所在楼栋、楼层、房间号，钢琴信息、备注内容）、琴房使用状态、预约人信息（账户名称、微信号等、专业名称、年级、课程名称）、预约时间、剩余使用时间、使用信息（使用开始时间、使用结束时间）等。</w:t>
            </w: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1</w:t>
            </w: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套</w:t>
            </w: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p>
        </w:tc>
        <w:tc>
          <w:tcPr>
            <w:tcW w:w="104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仿宋" w:hAnsi="仿宋" w:eastAsia="仿宋" w:cs="仿宋"/>
                <w:b w:val="0"/>
                <w:bCs w:val="0"/>
                <w:color w:val="000000"/>
                <w:sz w:val="20"/>
                <w:szCs w:val="20"/>
                <w:lang w:val="en-US" w:eastAsia="zh-CN"/>
              </w:rPr>
            </w:pPr>
          </w:p>
        </w:tc>
      </w:tr>
      <w:tr>
        <w:tblPrEx>
          <w:tblCellMar>
            <w:top w:w="0" w:type="dxa"/>
            <w:left w:w="108" w:type="dxa"/>
            <w:bottom w:w="0" w:type="dxa"/>
            <w:right w:w="108" w:type="dxa"/>
          </w:tblCellMar>
        </w:tblPrEx>
        <w:trPr>
          <w:trHeight w:val="23" w:hRule="atLeast"/>
        </w:trPr>
        <w:tc>
          <w:tcPr>
            <w:tcW w:w="21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lang w:val="en-US" w:eastAsia="zh-CN"/>
              </w:rPr>
            </w:pPr>
            <w:r>
              <w:rPr>
                <w:rFonts w:hint="eastAsia" w:ascii="仿宋" w:hAnsi="仿宋" w:eastAsia="仿宋" w:cs="仿宋"/>
                <w:b w:val="0"/>
                <w:bCs w:val="0"/>
                <w:color w:val="000000"/>
                <w:sz w:val="20"/>
                <w:szCs w:val="20"/>
                <w:lang w:val="en-US" w:eastAsia="zh-CN"/>
              </w:rPr>
              <w:t>合计</w:t>
            </w:r>
          </w:p>
        </w:tc>
        <w:tc>
          <w:tcPr>
            <w:tcW w:w="7727" w:type="dxa"/>
            <w:gridSpan w:val="6"/>
            <w:tcBorders>
              <w:top w:val="single" w:color="auto" w:sz="4" w:space="0"/>
              <w:left w:val="nil"/>
              <w:bottom w:val="single" w:color="auto" w:sz="4" w:space="0"/>
              <w:right w:val="single" w:color="auto" w:sz="4" w:space="0"/>
            </w:tcBorders>
            <w:shd w:val="clear" w:color="auto" w:fill="auto"/>
            <w:vAlign w:val="center"/>
          </w:tcPr>
          <w:p>
            <w:pPr>
              <w:jc w:val="left"/>
              <w:rPr>
                <w:rFonts w:hint="eastAsia" w:ascii="仿宋" w:hAnsi="仿宋" w:eastAsia="仿宋" w:cs="仿宋"/>
                <w:b w:val="0"/>
                <w:bCs w:val="0"/>
                <w:color w:val="000000"/>
                <w:sz w:val="20"/>
                <w:szCs w:val="20"/>
                <w:lang w:val="en-US" w:eastAsia="zh-CN"/>
              </w:rPr>
            </w:pPr>
            <w:r>
              <w:rPr>
                <w:rFonts w:hint="eastAsia" w:ascii="仿宋" w:hAnsi="仿宋" w:eastAsia="仿宋" w:cs="仿宋"/>
                <w:b w:val="0"/>
                <w:bCs w:val="0"/>
                <w:color w:val="000000"/>
                <w:sz w:val="20"/>
                <w:szCs w:val="20"/>
                <w:lang w:val="en-US" w:eastAsia="zh-CN"/>
              </w:rPr>
              <w:t>小写：</w:t>
            </w:r>
          </w:p>
          <w:p>
            <w:pPr>
              <w:pStyle w:val="2"/>
              <w:ind w:left="0" w:leftChars="0" w:firstLine="0" w:firstLineChars="0"/>
              <w:rPr>
                <w:rFonts w:hint="default"/>
                <w:lang w:val="en-US" w:eastAsia="zh-CN"/>
              </w:rPr>
            </w:pPr>
            <w:r>
              <w:rPr>
                <w:rFonts w:hint="eastAsia" w:ascii="仿宋" w:hAnsi="仿宋" w:eastAsia="仿宋" w:cs="仿宋"/>
                <w:b w:val="0"/>
                <w:bCs w:val="0"/>
                <w:color w:val="000000"/>
                <w:sz w:val="20"/>
                <w:szCs w:val="20"/>
                <w:lang w:val="en-US" w:eastAsia="zh-CN"/>
              </w:rPr>
              <w:t>大写：</w:t>
            </w:r>
          </w:p>
        </w:tc>
      </w:tr>
    </w:tbl>
    <w:p>
      <w:pPr>
        <w:spacing w:line="400" w:lineRule="exact"/>
        <w:rPr>
          <w:rFonts w:ascii="仿宋" w:hAnsi="仿宋" w:eastAsia="仿宋"/>
          <w:color w:val="000000" w:themeColor="text1"/>
          <w:sz w:val="24"/>
          <w:szCs w:val="24"/>
          <w14:textFill>
            <w14:solidFill>
              <w14:schemeClr w14:val="tx1"/>
            </w14:solidFill>
          </w14:textFill>
        </w:rPr>
      </w:pPr>
      <w:bookmarkStart w:id="184" w:name="_GoBack"/>
      <w:bookmarkEnd w:id="184"/>
      <w:r>
        <w:rPr>
          <w:rFonts w:hint="eastAsia" w:ascii="仿宋" w:hAnsi="仿宋" w:eastAsia="仿宋"/>
          <w:color w:val="000000" w:themeColor="text1"/>
          <w:sz w:val="24"/>
          <w:szCs w:val="24"/>
          <w14:textFill>
            <w14:solidFill>
              <w14:schemeClr w14:val="tx1"/>
            </w14:solidFill>
          </w14:textFill>
        </w:rPr>
        <w:t>注：</w:t>
      </w:r>
    </w:p>
    <w:p>
      <w:pPr>
        <w:numPr>
          <w:ilvl w:val="0"/>
          <w:numId w:val="7"/>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pPr>
        <w:numPr>
          <w:ilvl w:val="0"/>
          <w:numId w:val="7"/>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参与人所投内容需要提供品牌等真实详细信息，禁止复制采购人所提供的参考参数。</w:t>
      </w:r>
    </w:p>
    <w:p>
      <w:pPr>
        <w:numPr>
          <w:ilvl w:val="0"/>
          <w:numId w:val="7"/>
        </w:numPr>
        <w:spacing w:after="0" w:line="440" w:lineRule="exact"/>
      </w:pPr>
      <w:r>
        <w:rPr>
          <w:rFonts w:hint="eastAsia" w:ascii="仿宋" w:hAnsi="仿宋" w:eastAsia="仿宋"/>
          <w:bCs/>
          <w:color w:val="000000" w:themeColor="text1"/>
          <w:sz w:val="24"/>
          <w:szCs w:val="24"/>
          <w14:textFill>
            <w14:solidFill>
              <w14:schemeClr w14:val="tx1"/>
            </w14:solidFill>
          </w14:textFill>
        </w:rPr>
        <w:t>参与人所投内容报价应包含税费、运输费、搬运费、整体实施、安装调试费、售后服务等一切费用</w:t>
      </w: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pStyle w:val="2"/>
        <w:rPr>
          <w:rFonts w:ascii="仿宋" w:hAnsi="仿宋" w:eastAsia="仿宋"/>
          <w:bCs/>
          <w:color w:val="000000" w:themeColor="text1"/>
          <w:sz w:val="24"/>
          <w:szCs w:val="24"/>
          <w14:textFill>
            <w14:solidFill>
              <w14:schemeClr w14:val="tx1"/>
            </w14:solidFill>
          </w14:textFill>
        </w:rPr>
      </w:pPr>
    </w:p>
    <w:p>
      <w:pPr>
        <w:pStyle w:val="3"/>
        <w:rPr>
          <w:rFonts w:ascii="仿宋" w:hAnsi="仿宋" w:eastAsia="仿宋"/>
          <w:bCs/>
          <w:color w:val="000000" w:themeColor="text1"/>
          <w:sz w:val="24"/>
          <w:szCs w:val="24"/>
          <w14:textFill>
            <w14:solidFill>
              <w14:schemeClr w14:val="tx1"/>
            </w14:solidFill>
          </w14:textFill>
        </w:rPr>
      </w:pPr>
    </w:p>
    <w:p>
      <w:pPr>
        <w:pStyle w:val="4"/>
        <w:rPr>
          <w:rFonts w:ascii="仿宋" w:hAnsi="仿宋" w:eastAsia="仿宋"/>
          <w:bCs/>
          <w:color w:val="000000" w:themeColor="text1"/>
          <w:sz w:val="24"/>
          <w:szCs w:val="24"/>
          <w14:textFill>
            <w14:solidFill>
              <w14:schemeClr w14:val="tx1"/>
            </w14:solidFill>
          </w14:textFill>
        </w:rPr>
      </w:pPr>
    </w:p>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pPr>
    </w:p>
    <w:p>
      <w:pPr>
        <w:spacing w:after="0" w:line="440" w:lineRule="exact"/>
        <w:rPr>
          <w:rFonts w:ascii="仿宋" w:hAnsi="仿宋" w:eastAsia="仿宋"/>
          <w:bCs/>
          <w:color w:val="000000" w:themeColor="text1"/>
          <w:sz w:val="24"/>
          <w:szCs w:val="24"/>
          <w14:textFill>
            <w14:solidFill>
              <w14:schemeClr w14:val="tx1"/>
            </w14:solidFill>
          </w14:textFill>
        </w:rPr>
        <w:sectPr>
          <w:headerReference r:id="rId6" w:type="first"/>
          <w:headerReference r:id="rId5" w:type="default"/>
          <w:pgSz w:w="11906" w:h="16838"/>
          <w:pgMar w:top="1610" w:right="1416" w:bottom="1440" w:left="1134" w:header="850" w:footer="227" w:gutter="0"/>
          <w:cols w:space="425" w:num="1"/>
          <w:titlePg/>
          <w:docGrid w:type="lines" w:linePitch="312" w:charSpace="0"/>
        </w:sectPr>
      </w:pPr>
    </w:p>
    <w:p>
      <w:pPr>
        <w:spacing w:line="240" w:lineRule="auto"/>
        <w:rPr>
          <w:rFonts w:ascii="仿宋" w:hAnsi="仿宋" w:eastAsia="仿宋"/>
          <w:b/>
          <w:color w:val="000000" w:themeColor="text1"/>
          <w:sz w:val="40"/>
          <w:szCs w:val="40"/>
          <w14:textFill>
            <w14:solidFill>
              <w14:schemeClr w14:val="tx1"/>
            </w14:solidFill>
          </w14:textFill>
        </w:rPr>
      </w:pPr>
    </w:p>
    <w:p>
      <w:pPr>
        <w:spacing w:line="240" w:lineRule="auto"/>
        <w:rPr>
          <w:rFonts w:ascii="仿宋" w:hAnsi="仿宋" w:eastAsia="仿宋"/>
          <w:b/>
          <w:color w:val="000000" w:themeColor="text1"/>
          <w:sz w:val="40"/>
          <w:szCs w:val="40"/>
          <w14:textFill>
            <w14:solidFill>
              <w14:schemeClr w14:val="tx1"/>
            </w14:solidFill>
          </w14:textFill>
        </w:rPr>
      </w:pPr>
    </w:p>
    <w:p>
      <w:pPr>
        <w:spacing w:line="580" w:lineRule="exact"/>
        <w:jc w:val="center"/>
        <w:rPr>
          <w:rFonts w:ascii="仿宋" w:hAnsi="仿宋" w:eastAsia="仿宋"/>
          <w:b/>
          <w:color w:val="000000" w:themeColor="text1"/>
          <w:sz w:val="40"/>
          <w:szCs w:val="40"/>
          <w14:textFill>
            <w14:solidFill>
              <w14:schemeClr w14:val="tx1"/>
            </w14:solidFill>
          </w14:textFill>
        </w:rPr>
      </w:pPr>
      <w:r>
        <w:rPr>
          <w:rFonts w:hint="eastAsia" w:ascii="仿宋" w:hAnsi="仿宋" w:eastAsia="仿宋"/>
          <w:b/>
          <w:color w:val="000000" w:themeColor="text1"/>
          <w:sz w:val="40"/>
          <w:szCs w:val="40"/>
          <w14:textFill>
            <w14:solidFill>
              <w14:schemeClr w14:val="tx1"/>
            </w14:solidFill>
          </w14:textFill>
        </w:rPr>
        <w:t>重庆外语外事学</w:t>
      </w:r>
      <w:r>
        <w:rPr>
          <w:rFonts w:ascii="仿宋" w:hAnsi="仿宋" w:eastAsia="仿宋"/>
          <w:b/>
          <w:color w:val="000000" w:themeColor="text1"/>
          <w:sz w:val="40"/>
          <w:szCs w:val="40"/>
          <w14:textFill>
            <w14:solidFill>
              <w14:schemeClr w14:val="tx1"/>
            </w14:solidFill>
          </w14:textFill>
        </w:rPr>
        <w:drawing>
          <wp:anchor distT="0" distB="0" distL="114300" distR="114300" simplePos="0" relativeHeight="251660288"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hint="eastAsia" w:ascii="仿宋" w:hAnsi="仿宋" w:eastAsia="仿宋"/>
          <w:b/>
          <w:color w:val="000000" w:themeColor="text1"/>
          <w:sz w:val="40"/>
          <w:szCs w:val="40"/>
          <w14:textFill>
            <w14:solidFill>
              <w14:schemeClr w14:val="tx1"/>
            </w14:solidFill>
          </w14:textFill>
        </w:rPr>
        <w:t>智能琴房管理系统采购项目</w:t>
      </w:r>
    </w:p>
    <w:p>
      <w:pPr>
        <w:pStyle w:val="6"/>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656" w:firstLineChars="945"/>
        <w:rPr>
          <w:rFonts w:ascii="仿宋" w:hAnsi="仿宋" w:eastAsia="仿宋"/>
          <w:b/>
          <w:color w:val="FF0000"/>
          <w:sz w:val="28"/>
          <w:szCs w:val="28"/>
        </w:rPr>
      </w:pPr>
      <w:r>
        <w:rPr>
          <w:rFonts w:hint="eastAsia" w:ascii="仿宋" w:hAnsi="仿宋" w:eastAsia="仿宋"/>
          <w:b/>
          <w:sz w:val="28"/>
          <w:szCs w:val="28"/>
        </w:rPr>
        <w:t>参与人名称（公司全称）：</w:t>
      </w:r>
      <w:r>
        <w:rPr>
          <w:rFonts w:hint="eastAsia" w:ascii="仿宋" w:hAnsi="仿宋" w:eastAsia="仿宋"/>
          <w:b/>
          <w:color w:val="FF0000"/>
          <w:sz w:val="28"/>
          <w:szCs w:val="28"/>
        </w:rPr>
        <w:t>XXXX</w:t>
      </w:r>
    </w:p>
    <w:p>
      <w:pPr>
        <w:spacing w:line="500" w:lineRule="exact"/>
        <w:ind w:firstLine="2656" w:firstLineChars="945"/>
        <w:rPr>
          <w:rFonts w:ascii="仿宋" w:hAnsi="仿宋" w:eastAsia="仿宋"/>
          <w:b/>
          <w:color w:val="FF0000"/>
          <w:sz w:val="28"/>
          <w:szCs w:val="28"/>
        </w:rPr>
      </w:pPr>
      <w:r>
        <w:rPr>
          <w:rFonts w:hint="eastAsia" w:ascii="仿宋" w:hAnsi="仿宋" w:eastAsia="仿宋"/>
          <w:b/>
          <w:sz w:val="28"/>
          <w:szCs w:val="28"/>
        </w:rPr>
        <w:t>参与人授权代表：</w:t>
      </w:r>
      <w:r>
        <w:rPr>
          <w:rFonts w:hint="eastAsia" w:ascii="仿宋" w:hAnsi="仿宋" w:eastAsia="仿宋"/>
          <w:b/>
          <w:color w:val="FF0000"/>
          <w:sz w:val="28"/>
          <w:szCs w:val="28"/>
        </w:rPr>
        <w:t>XXXX</w:t>
      </w:r>
    </w:p>
    <w:p>
      <w:pPr>
        <w:rPr>
          <w:rFonts w:ascii="仿宋" w:hAnsi="仿宋" w:eastAsia="仿宋"/>
          <w:b/>
          <w:bCs/>
          <w:sz w:val="30"/>
          <w:szCs w:val="30"/>
        </w:rPr>
      </w:pPr>
    </w:p>
    <w:p>
      <w:pPr>
        <w:pStyle w:val="6"/>
      </w:pPr>
    </w:p>
    <w:p>
      <w:pPr>
        <w:jc w:val="center"/>
        <w:rPr>
          <w:rFonts w:ascii="仿宋" w:hAnsi="仿宋" w:eastAsia="仿宋"/>
          <w:b/>
          <w:bCs/>
          <w:sz w:val="30"/>
          <w:szCs w:val="30"/>
        </w:rPr>
      </w:pPr>
      <w:r>
        <w:rPr>
          <w:rFonts w:hint="eastAsia" w:ascii="仿宋" w:hAnsi="仿宋" w:eastAsia="仿宋"/>
          <w:b/>
          <w:bCs/>
          <w:sz w:val="30"/>
          <w:szCs w:val="30"/>
        </w:rPr>
        <w:t>此封面应作为报价响应文件封面</w:t>
      </w:r>
    </w:p>
    <w:p>
      <w:pPr>
        <w:pStyle w:val="6"/>
        <w:sectPr>
          <w:headerReference r:id="rId8" w:type="first"/>
          <w:headerReference r:id="rId7" w:type="default"/>
          <w:type w:val="continuous"/>
          <w:pgSz w:w="11906" w:h="16838"/>
          <w:pgMar w:top="1440" w:right="1416" w:bottom="1440" w:left="1134" w:header="851" w:footer="227" w:gutter="0"/>
          <w:cols w:space="425" w:num="1"/>
          <w:titlePg/>
          <w:docGrid w:type="lines" w:linePitch="312" w:charSpace="0"/>
        </w:sectPr>
      </w:pPr>
    </w:p>
    <w:p>
      <w:pPr>
        <w:outlineLvl w:val="1"/>
        <w:rPr>
          <w:rFonts w:ascii="仿宋" w:hAnsi="仿宋" w:eastAsia="仿宋"/>
          <w:b/>
          <w:bCs/>
          <w:color w:val="000000" w:themeColor="text1"/>
          <w:sz w:val="28"/>
          <w:szCs w:val="28"/>
          <w14:textFill>
            <w14:solidFill>
              <w14:schemeClr w14:val="tx1"/>
            </w14:solidFill>
          </w14:textFill>
        </w:rPr>
      </w:pPr>
      <w:bookmarkStart w:id="52" w:name="_Toc230071147"/>
      <w:bookmarkStart w:id="53" w:name="_Toc181436565"/>
      <w:bookmarkStart w:id="54" w:name="_Toc236021449"/>
      <w:bookmarkStart w:id="55" w:name="_Toc213755995"/>
      <w:bookmarkStart w:id="56" w:name="_Toc213755939"/>
      <w:bookmarkStart w:id="57" w:name="_Toc193165734"/>
      <w:bookmarkStart w:id="58" w:name="_Toc170798793"/>
      <w:bookmarkStart w:id="59" w:name="_Toc211917116"/>
      <w:bookmarkStart w:id="60" w:name="_Toc182372782"/>
      <w:bookmarkStart w:id="61" w:name="_Toc266868937"/>
      <w:bookmarkStart w:id="62" w:name="_Toc192996338"/>
      <w:bookmarkStart w:id="63" w:name="_Toc213756051"/>
      <w:bookmarkStart w:id="64" w:name="_Toc251613829"/>
      <w:bookmarkStart w:id="65" w:name="_Toc267059653"/>
      <w:bookmarkStart w:id="66" w:name="_Toc251586231"/>
      <w:bookmarkStart w:id="67" w:name="_Toc267059539"/>
      <w:bookmarkStart w:id="68" w:name="_Toc259520865"/>
      <w:bookmarkStart w:id="69" w:name="_Toc267059030"/>
      <w:bookmarkStart w:id="70" w:name="_Toc213755858"/>
      <w:bookmarkStart w:id="71" w:name="_Toc259692740"/>
      <w:bookmarkStart w:id="72" w:name="_Toc266870907"/>
      <w:bookmarkStart w:id="73" w:name="_Toc267059919"/>
      <w:bookmarkStart w:id="74" w:name="_Toc160880160"/>
      <w:bookmarkStart w:id="75" w:name="_Toc181436461"/>
      <w:bookmarkStart w:id="76" w:name="_Toc191783222"/>
      <w:bookmarkStart w:id="77" w:name="_Toc259692647"/>
      <w:bookmarkStart w:id="78" w:name="_Toc273178698"/>
      <w:bookmarkStart w:id="79" w:name="_Toc255975007"/>
      <w:bookmarkStart w:id="80" w:name="_Toc254790899"/>
      <w:bookmarkStart w:id="81" w:name="_Toc213208766"/>
      <w:bookmarkStart w:id="82" w:name="_Toc267060208"/>
      <w:bookmarkStart w:id="83" w:name="_Toc180302913"/>
      <w:bookmarkStart w:id="84" w:name="_Toc266870432"/>
      <w:bookmarkStart w:id="85" w:name="_Toc192996446"/>
      <w:bookmarkStart w:id="86" w:name="_Toc217891402"/>
      <w:bookmarkStart w:id="87" w:name="_Toc219800243"/>
      <w:bookmarkStart w:id="88" w:name="_Toc267059181"/>
      <w:bookmarkStart w:id="89" w:name="_Toc182805217"/>
      <w:bookmarkStart w:id="90" w:name="_Toc249325711"/>
      <w:bookmarkStart w:id="91" w:name="_Toc225669322"/>
      <w:bookmarkStart w:id="92" w:name="_Toc266868670"/>
      <w:bookmarkStart w:id="93" w:name="_Toc191789329"/>
      <w:bookmarkStart w:id="94" w:name="_Toc267060321"/>
      <w:bookmarkStart w:id="95" w:name="_Toc223146608"/>
      <w:bookmarkStart w:id="96" w:name="_Toc169332949"/>
      <w:bookmarkStart w:id="97" w:name="_Toc227058530"/>
      <w:bookmarkStart w:id="98" w:name="_Toc177985469"/>
      <w:bookmarkStart w:id="99" w:name="_Toc235438344"/>
      <w:bookmarkStart w:id="100" w:name="_Toc191803626"/>
      <w:bookmarkStart w:id="101" w:name="_Toc232302115"/>
      <w:bookmarkStart w:id="102" w:name="_Toc267060068"/>
      <w:bookmarkStart w:id="103" w:name="_Toc169332838"/>
      <w:bookmarkStart w:id="104" w:name="_Toc191802690"/>
      <w:bookmarkStart w:id="105" w:name="_Toc267060453"/>
      <w:bookmarkStart w:id="106" w:name="_Toc266870833"/>
      <w:bookmarkStart w:id="107" w:name="_Toc253066614"/>
      <w:bookmarkStart w:id="108" w:name="_Toc235438274"/>
      <w:bookmarkStart w:id="109" w:name="_Toc203355733"/>
      <w:bookmarkStart w:id="110" w:name="_Toc160880529"/>
      <w:bookmarkStart w:id="111" w:name="_Toc192664153"/>
      <w:bookmarkStart w:id="112" w:name="_Toc258401256"/>
      <w:bookmarkStart w:id="113" w:name="_Toc192663835"/>
      <w:bookmarkStart w:id="114" w:name="_Toc235437991"/>
      <w:bookmarkStart w:id="115" w:name="_Toc193160448"/>
      <w:bookmarkStart w:id="116" w:name="_Toc192663686"/>
      <w:bookmarkStart w:id="117" w:name="_Toc267059806"/>
    </w:p>
    <w:p>
      <w:pPr>
        <w:outlineLvl w:val="1"/>
        <w:rPr>
          <w:rFonts w:ascii="仿宋" w:hAnsi="仿宋" w:eastAsia="仿宋"/>
          <w:b/>
          <w:bCs/>
          <w:color w:val="000000" w:themeColor="text1"/>
          <w:sz w:val="28"/>
          <w:szCs w:val="28"/>
          <w14:textFill>
            <w14:solidFill>
              <w14:schemeClr w14:val="tx1"/>
            </w14:solidFill>
          </w14:textFill>
        </w:rPr>
      </w:pPr>
    </w:p>
    <w:p>
      <w:pPr>
        <w:outlineLvl w:val="1"/>
        <w:rPr>
          <w:rFonts w:ascii="仿宋" w:hAnsi="仿宋" w:eastAsia="仿宋"/>
          <w:b/>
          <w:bCs/>
          <w:color w:val="000000" w:themeColor="text1"/>
          <w:sz w:val="28"/>
          <w:szCs w:val="28"/>
          <w14:textFill>
            <w14:solidFill>
              <w14:schemeClr w14:val="tx1"/>
            </w14:solidFill>
          </w14:textFill>
        </w:rPr>
      </w:pPr>
    </w:p>
    <w:p>
      <w:pPr>
        <w:jc w:val="center"/>
        <w:outlineLvl w:val="1"/>
        <w:rPr>
          <w:rFonts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ascii="仿宋" w:hAnsi="仿宋" w:eastAsia="仿宋"/>
          <w:b/>
          <w:bCs/>
          <w:color w:val="000000" w:themeColor="text1"/>
          <w:sz w:val="28"/>
          <w:szCs w:val="28"/>
          <w14:textFill>
            <w14:solidFill>
              <w14:schemeClr w14:val="tx1"/>
            </w14:solidFill>
          </w14:textFill>
        </w:rPr>
        <w:t>询价响应函</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致：重庆外语外事学院</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根据贵学校编号为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项目名称为</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的公开询价邀请，本签字代表</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（全名、职务）正式授权并代表我方</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（参与人公司名称）提交下述文件。</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 报价一览表</w:t>
      </w:r>
    </w:p>
    <w:p>
      <w:pPr>
        <w:spacing w:after="0" w:line="480" w:lineRule="exact"/>
        <w:ind w:firstLine="364" w:firstLineChars="152"/>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 参与人资质证明</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据此函，签字代表宣布同意如下：</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1.所附详细报价表中规定的应提供和交付的货物及服务报价总价（国内现场交货价）为人民币 </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，即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（中文表述），交货期为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天</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3.保证遵守公开询价文件的全部规定，所提交的材料中所含的信息均为真实、准确、完整，且不具有任何误导性。</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4.同意按公开询价文件的规定履行合同责任和义务。</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5</w:t>
      </w:r>
      <w:r>
        <w:rPr>
          <w:rFonts w:hint="eastAsia" w:ascii="仿宋" w:hAnsi="仿宋" w:eastAsia="仿宋"/>
          <w:color w:val="000000" w:themeColor="text1"/>
          <w:sz w:val="24"/>
          <w:szCs w:val="24"/>
          <w14:textFill>
            <w14:solidFill>
              <w14:schemeClr w14:val="tx1"/>
            </w14:solidFill>
          </w14:textFill>
        </w:rPr>
        <w:t>.同意提供按照贵方可能要求的与其公开询价有关的一切数据或资料</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6.</w:t>
      </w:r>
      <w:r>
        <w:rPr>
          <w:rFonts w:hint="eastAsia" w:ascii="仿宋" w:hAnsi="仿宋" w:eastAsia="仿宋"/>
          <w:color w:val="000000" w:themeColor="text1"/>
          <w:sz w:val="24"/>
          <w:szCs w:val="24"/>
          <w14:textFill>
            <w14:solidFill>
              <w14:schemeClr w14:val="tx1"/>
            </w14:solidFill>
          </w14:textFill>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参与人（公司全称并加盖公章）：</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参与人授权代表签字： </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电 </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话：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w:t>
      </w:r>
      <w:r>
        <w:rPr>
          <w:rFonts w:hint="eastAsia" w:ascii="仿宋" w:hAnsi="仿宋" w:eastAsia="仿宋"/>
          <w:b/>
          <w:bCs/>
          <w:color w:val="000000" w:themeColor="text1"/>
          <w:sz w:val="24"/>
          <w:szCs w:val="24"/>
          <w14:textFill>
            <w14:solidFill>
              <w14:schemeClr w14:val="tx1"/>
            </w14:solidFill>
          </w14:textFill>
        </w:rPr>
        <w:t>（手机号码）</w:t>
      </w:r>
    </w:p>
    <w:p>
      <w:pPr>
        <w:pStyle w:val="60"/>
        <w:spacing w:line="480" w:lineRule="exact"/>
        <w:ind w:firstLine="480" w:firstLineChars="200"/>
        <w:jc w:val="left"/>
        <w:outlineLvl w:val="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日  期：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年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月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rPr>
          <w:rFonts w:ascii="仿宋" w:hAnsi="仿宋" w:eastAsia="仿宋" w:cs="Times New Roman"/>
          <w:color w:val="000000" w:themeColor="text1"/>
          <w:kern w:val="2"/>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p>
    <w:p>
      <w:pPr>
        <w:jc w:val="center"/>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、报价一览表</w:t>
      </w:r>
    </w:p>
    <w:p>
      <w:pPr>
        <w:spacing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w:t>
      </w:r>
      <w:r>
        <w:rPr>
          <w:rFonts w:hint="eastAsia" w:ascii="仿宋" w:hAnsi="仿宋" w:eastAsia="仿宋"/>
          <w:color w:val="000000" w:themeColor="text1"/>
          <w:sz w:val="24"/>
          <w:szCs w:val="24"/>
          <w:lang w:val="zh-CN"/>
          <w14:textFill>
            <w14:solidFill>
              <w14:schemeClr w14:val="tx1"/>
            </w14:solidFill>
          </w14:textFill>
        </w:rPr>
        <w:t>（公司全称并加盖公章）</w:t>
      </w:r>
      <w:r>
        <w:rPr>
          <w:rFonts w:hint="eastAsia" w:ascii="仿宋" w:hAnsi="仿宋" w:eastAsia="仿宋"/>
          <w:color w:val="000000" w:themeColor="text1"/>
          <w:sz w:val="24"/>
          <w:szCs w:val="24"/>
          <w14:textFill>
            <w14:solidFill>
              <w14:schemeClr w14:val="tx1"/>
            </w14:solidFill>
          </w14:textFill>
        </w:rPr>
        <w:t xml:space="preserve">                   项目编号：</w:t>
      </w:r>
    </w:p>
    <w:p>
      <w:pPr>
        <w:spacing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货币单位：</w:t>
      </w:r>
    </w:p>
    <w:tbl>
      <w:tblPr>
        <w:tblStyle w:val="27"/>
        <w:tblpPr w:leftFromText="180" w:rightFromText="180" w:vertAnchor="text" w:horzAnchor="page" w:tblpX="1142" w:tblpY="579"/>
        <w:tblOverlap w:val="never"/>
        <w:tblW w:w="0" w:type="auto"/>
        <w:tblInd w:w="0" w:type="dxa"/>
        <w:tblLayout w:type="fixed"/>
        <w:tblCellMar>
          <w:top w:w="0" w:type="dxa"/>
          <w:left w:w="108" w:type="dxa"/>
          <w:bottom w:w="0" w:type="dxa"/>
          <w:right w:w="108" w:type="dxa"/>
        </w:tblCellMar>
      </w:tblPr>
      <w:tblGrid>
        <w:gridCol w:w="618"/>
        <w:gridCol w:w="1532"/>
        <w:gridCol w:w="4213"/>
        <w:gridCol w:w="618"/>
        <w:gridCol w:w="618"/>
        <w:gridCol w:w="618"/>
        <w:gridCol w:w="618"/>
        <w:gridCol w:w="618"/>
        <w:gridCol w:w="1042"/>
      </w:tblGrid>
      <w:tr>
        <w:tblPrEx>
          <w:tblCellMar>
            <w:top w:w="0" w:type="dxa"/>
            <w:left w:w="108" w:type="dxa"/>
            <w:bottom w:w="0" w:type="dxa"/>
            <w:right w:w="108" w:type="dxa"/>
          </w:tblCellMar>
        </w:tblPrEx>
        <w:tc>
          <w:tcPr>
            <w:tcW w:w="618" w:type="dxa"/>
            <w:tcBorders>
              <w:top w:val="single" w:color="auto" w:sz="4" w:space="0"/>
              <w:left w:val="single" w:color="auto" w:sz="4" w:space="0"/>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序号</w:t>
            </w:r>
          </w:p>
        </w:tc>
        <w:tc>
          <w:tcPr>
            <w:tcW w:w="1532"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设备名称</w:t>
            </w:r>
          </w:p>
        </w:tc>
        <w:tc>
          <w:tcPr>
            <w:tcW w:w="4213"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规格型号（技术参数）</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品牌</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数量</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单位</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单价</w:t>
            </w:r>
          </w:p>
        </w:tc>
        <w:tc>
          <w:tcPr>
            <w:tcW w:w="618"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金额</w:t>
            </w:r>
          </w:p>
        </w:tc>
        <w:tc>
          <w:tcPr>
            <w:tcW w:w="1042" w:type="dxa"/>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备注</w:t>
            </w:r>
          </w:p>
        </w:tc>
      </w:tr>
      <w:tr>
        <w:tblPrEx>
          <w:tblCellMar>
            <w:top w:w="0" w:type="dxa"/>
            <w:left w:w="108" w:type="dxa"/>
            <w:bottom w:w="0" w:type="dxa"/>
            <w:right w:w="108" w:type="dxa"/>
          </w:tblCellMar>
        </w:tblPrEx>
        <w:tc>
          <w:tcPr>
            <w:tcW w:w="6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1</w:t>
            </w:r>
          </w:p>
        </w:tc>
        <w:tc>
          <w:tcPr>
            <w:tcW w:w="15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智能琴房管理系统</w:t>
            </w:r>
          </w:p>
        </w:tc>
        <w:tc>
          <w:tcPr>
            <w:tcW w:w="4213" w:type="dxa"/>
            <w:tcBorders>
              <w:top w:val="single" w:color="auto" w:sz="4" w:space="0"/>
              <w:left w:val="nil"/>
              <w:bottom w:val="single" w:color="auto" w:sz="4" w:space="0"/>
              <w:right w:val="single" w:color="auto" w:sz="4" w:space="0"/>
            </w:tcBorders>
            <w:shd w:val="clear" w:color="auto" w:fill="auto"/>
            <w:vAlign w:val="center"/>
          </w:tcPr>
          <w:p>
            <w:pPr>
              <w:numPr>
                <w:ilvl w:val="0"/>
                <w:numId w:val="6"/>
              </w:numPr>
              <w:spacing w:after="0" w:line="360" w:lineRule="auto"/>
              <w:jc w:val="left"/>
              <w:outlineLvl w:val="1"/>
              <w:rPr>
                <w:rFonts w:hint="eastAsia" w:ascii="仿宋" w:hAnsi="仿宋" w:eastAsia="仿宋" w:cs="仿宋"/>
                <w:b w:val="0"/>
                <w:bCs w:val="0"/>
                <w:sz w:val="20"/>
                <w:szCs w:val="20"/>
              </w:rPr>
            </w:pPr>
            <w:r>
              <w:rPr>
                <w:rFonts w:hint="eastAsia" w:ascii="仿宋" w:hAnsi="仿宋" w:eastAsia="仿宋" w:cs="仿宋"/>
                <w:b w:val="0"/>
                <w:bCs w:val="0"/>
                <w:sz w:val="20"/>
                <w:szCs w:val="20"/>
              </w:rPr>
              <w:t>Web端功能</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1、琴房管理</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可以对琴房的基本信息进行管理。可以查看、修改和删除，选择已导入成功的课程，以便明确琴房与课程的关联关系。如琴房名称、所在楼栋、楼层、房间号，课程信息、备注内容等。</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2、课程管理</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课程列表：可以下载课程导入模板，上传表格导入学生的专业课程表到系统。导入成功后展示课程的课程名称、课程时间段等相关信息。</w:t>
            </w:r>
          </w:p>
          <w:p>
            <w:pPr>
              <w:pStyle w:val="2"/>
              <w:jc w:val="left"/>
              <w:rPr>
                <w:rFonts w:hint="eastAsia" w:ascii="仿宋" w:hAnsi="仿宋" w:eastAsia="仿宋" w:cs="仿宋"/>
                <w:b w:val="0"/>
                <w:bCs w:val="0"/>
                <w:sz w:val="20"/>
                <w:szCs w:val="20"/>
              </w:rPr>
            </w:pP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3、预约规则设置</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对琴房的通用预约规则进行管理。如预约时段为上午8:00-12:00，中午12:00-14:00，下午14:00-18:00，晚上18:00-21:00使用时长为2小时、每天可预约次数为1次等。</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4、预约订单查询</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可以查看所有学生的预约订单信息。可通过学生姓名、琴房名称、订单状态等条件进行筛选，订单内容包括：琴房信息（琴房名称、所在楼栋、楼层、房间号，钢琴信息、备注内容）、琴房使用状态、预约人信息（账户名称、微信号等、专业名称、年级、课程名称）、预约时间、剩余使用时间、使用信息（使用开始时间、使用结束时间）等。</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5、账号管理</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可以对系统里面的账号进行增行改查、重置密码等操作。可以添加使用预约系统的用户基本信息，通过账户名称进行查询，可以设置登录账户、登录名称、选择账户类型（教职工、学生），选择年级、选择专业，明确学生与年级、专业的关联关系。学生可以通过账户+密码，登录系统小程序进行琴房查询、琴房预约等操作。</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6、琴房使用分析</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通过AI大数据进行统计分析和特征分布，可以分析出琴房的使用时段分布、琴房的使用率占比、学生的琴房使用时长等数据，有利于高校调节学生用琴矛盾，提高琴房的有效调度。</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7、系统设置</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数据字典：可以自定义配置年级、专业等数据，为管理功能的关联做数据支撑</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系统日志：对使用系统的用户操作日志进行统计，可以进行查询。</w:t>
            </w:r>
          </w:p>
          <w:p>
            <w:pPr>
              <w:numPr>
                <w:ilvl w:val="0"/>
                <w:numId w:val="6"/>
              </w:numPr>
              <w:spacing w:after="0" w:line="360" w:lineRule="auto"/>
              <w:jc w:val="left"/>
              <w:outlineLvl w:val="1"/>
              <w:rPr>
                <w:rFonts w:hint="eastAsia" w:ascii="仿宋" w:hAnsi="仿宋" w:eastAsia="仿宋" w:cs="仿宋"/>
                <w:b w:val="0"/>
                <w:bCs w:val="0"/>
                <w:sz w:val="20"/>
                <w:szCs w:val="20"/>
              </w:rPr>
            </w:pPr>
            <w:r>
              <w:rPr>
                <w:rFonts w:hint="eastAsia" w:ascii="仿宋" w:hAnsi="仿宋" w:eastAsia="仿宋" w:cs="仿宋"/>
                <w:b w:val="0"/>
                <w:bCs w:val="0"/>
                <w:sz w:val="20"/>
                <w:szCs w:val="20"/>
              </w:rPr>
              <w:t>移动端功能</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8、登录授权</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使用登录账户、密码，登录小程序，使用预约系统进行琴房预约。</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9、琴房查询</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学生登录到系统后，可以通过查询列表看到当前琴房的数量和状态，是否有空闲，然后通过琴房使用状态的展示，选中可预约的琴房，下单预约。</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10、预约琴房</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在琴房列表界面里，学生只能查看自己专业、课程的尚无人使用的琴房，点击预约按钮，可以把琴房加入预约订单里面进行琴房的预约，预约信息上传至服务器，成功后系统自动下发预约成功的订单信息。</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11、上琴登记</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预约用户在预约的时间到达已预约的琴房，并点击小程序上进行上琴登记，系统自动连接服务器，验证成功后，同时系统开始记录琴房已经有人使用，并且开始计时。上琴时，若未手动登记上琴，根据预约开始时间判断，超过当前时间，则自动开始计时。</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12、下琴签退</w:t>
            </w:r>
          </w:p>
          <w:p>
            <w:pPr>
              <w:spacing w:after="0" w:line="360" w:lineRule="auto"/>
              <w:jc w:val="left"/>
              <w:rPr>
                <w:rFonts w:hint="eastAsia" w:ascii="仿宋" w:hAnsi="仿宋" w:eastAsia="仿宋" w:cs="仿宋"/>
                <w:b w:val="0"/>
                <w:bCs w:val="0"/>
                <w:sz w:val="20"/>
                <w:szCs w:val="20"/>
              </w:rPr>
            </w:pPr>
            <w:r>
              <w:rPr>
                <w:rFonts w:hint="eastAsia" w:ascii="仿宋" w:hAnsi="仿宋" w:eastAsia="仿宋" w:cs="仿宋"/>
                <w:b w:val="0"/>
                <w:bCs w:val="0"/>
                <w:sz w:val="20"/>
                <w:szCs w:val="20"/>
              </w:rPr>
              <w:t>预约用户在预约时间内，使用完琴房以后，可以点击下琴签退离开琴房，系统会记录琴房处于空闲状态，方便其他人预约。系统也会根据使用结束时间判断是否超时，超时后琴房会自动更新为下琴签退，使琴房处于空闲状态，减少琴房长时间被占用。</w:t>
            </w:r>
          </w:p>
          <w:p>
            <w:pPr>
              <w:spacing w:after="0" w:line="360" w:lineRule="auto"/>
              <w:jc w:val="left"/>
              <w:outlineLvl w:val="2"/>
              <w:rPr>
                <w:rFonts w:hint="eastAsia" w:ascii="仿宋" w:hAnsi="仿宋" w:eastAsia="仿宋" w:cs="仿宋"/>
                <w:b w:val="0"/>
                <w:bCs w:val="0"/>
                <w:sz w:val="20"/>
                <w:szCs w:val="20"/>
              </w:rPr>
            </w:pPr>
            <w:r>
              <w:rPr>
                <w:rFonts w:hint="eastAsia" w:ascii="仿宋" w:hAnsi="仿宋" w:eastAsia="仿宋" w:cs="仿宋"/>
                <w:b w:val="0"/>
                <w:bCs w:val="0"/>
                <w:sz w:val="20"/>
                <w:szCs w:val="20"/>
              </w:rPr>
              <w:t>13、预约订单查询</w:t>
            </w:r>
          </w:p>
          <w:p>
            <w:pPr>
              <w:spacing w:after="0"/>
              <w:jc w:val="left"/>
              <w:rPr>
                <w:rFonts w:hint="eastAsia" w:ascii="仿宋" w:hAnsi="仿宋" w:eastAsia="仿宋" w:cs="仿宋"/>
                <w:b w:val="0"/>
                <w:bCs w:val="0"/>
                <w:color w:val="000000"/>
                <w:sz w:val="20"/>
                <w:szCs w:val="20"/>
              </w:rPr>
            </w:pPr>
            <w:r>
              <w:rPr>
                <w:rFonts w:hint="eastAsia" w:ascii="仿宋" w:hAnsi="仿宋" w:eastAsia="仿宋" w:cs="仿宋"/>
                <w:b w:val="0"/>
                <w:bCs w:val="0"/>
                <w:sz w:val="20"/>
                <w:szCs w:val="20"/>
              </w:rPr>
              <w:t>可以查看个人账户下的所有预约订单信息。可通过琴房名称、订单状态等条件进行筛选，订单内容包括：琴房信息（琴房名称、所在楼栋、楼层、房间号，钢琴信息、备注内容）、琴房使用状态、预约人信息（账户名称、微信号等、专业名称、年级、课程名称）、预约时间、剩余使用时间、使用信息（使用开始时间、使用结束时间）等。</w:t>
            </w: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left"/>
              <w:rPr>
                <w:rFonts w:hint="eastAsia" w:ascii="仿宋" w:hAnsi="仿宋" w:eastAsia="仿宋" w:cs="仿宋"/>
                <w:b w:val="0"/>
                <w:bCs w:val="0"/>
                <w:color w:val="000000"/>
                <w:sz w:val="20"/>
                <w:szCs w:val="20"/>
              </w:rPr>
            </w:pP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1</w:t>
            </w: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套</w:t>
            </w: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p>
        </w:tc>
        <w:tc>
          <w:tcPr>
            <w:tcW w:w="618"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p>
        </w:tc>
        <w:tc>
          <w:tcPr>
            <w:tcW w:w="104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p>
        </w:tc>
      </w:tr>
      <w:tr>
        <w:tblPrEx>
          <w:tblCellMar>
            <w:top w:w="0" w:type="dxa"/>
            <w:left w:w="108" w:type="dxa"/>
            <w:bottom w:w="0" w:type="dxa"/>
            <w:right w:w="108" w:type="dxa"/>
          </w:tblCellMar>
        </w:tblPrEx>
        <w:tc>
          <w:tcPr>
            <w:tcW w:w="21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合计</w:t>
            </w:r>
          </w:p>
        </w:tc>
        <w:tc>
          <w:tcPr>
            <w:tcW w:w="8345" w:type="dxa"/>
            <w:gridSpan w:val="7"/>
            <w:tcBorders>
              <w:top w:val="single" w:color="auto" w:sz="4" w:space="0"/>
              <w:left w:val="nil"/>
              <w:bottom w:val="single" w:color="auto" w:sz="4" w:space="0"/>
              <w:right w:val="single" w:color="auto" w:sz="4" w:space="0"/>
            </w:tcBorders>
            <w:shd w:val="clear" w:color="auto" w:fill="auto"/>
            <w:vAlign w:val="center"/>
          </w:tcPr>
          <w:p>
            <w:pPr>
              <w:jc w:val="left"/>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小写：</w:t>
            </w:r>
          </w:p>
          <w:p>
            <w:pPr>
              <w:pStyle w:val="2"/>
              <w:ind w:firstLine="0"/>
              <w:rPr>
                <w:rFonts w:hint="eastAsia" w:ascii="仿宋" w:hAnsi="仿宋" w:eastAsia="仿宋" w:cs="仿宋"/>
                <w:b w:val="0"/>
                <w:bCs w:val="0"/>
                <w:sz w:val="20"/>
                <w:szCs w:val="20"/>
              </w:rPr>
            </w:pPr>
            <w:r>
              <w:rPr>
                <w:rFonts w:hint="eastAsia" w:ascii="仿宋" w:hAnsi="仿宋" w:eastAsia="仿宋" w:cs="仿宋"/>
                <w:b w:val="0"/>
                <w:bCs w:val="0"/>
                <w:color w:val="000000"/>
                <w:sz w:val="20"/>
                <w:szCs w:val="20"/>
              </w:rPr>
              <w:t>大写：</w:t>
            </w:r>
          </w:p>
        </w:tc>
      </w:tr>
    </w:tbl>
    <w:p>
      <w:pPr>
        <w:spacing w:after="0" w:line="240" w:lineRule="auto"/>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注：1.如果按单价计算的结果与总价不一致,以单价为准修正总价。</w:t>
      </w:r>
    </w:p>
    <w:p>
      <w:pPr>
        <w:spacing w:after="0" w:line="240" w:lineRule="auto"/>
        <w:ind w:left="147" w:leftChars="67"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2.如果不提供详细参数和报价将视为没有实质性响应</w:t>
      </w:r>
      <w:r>
        <w:rPr>
          <w:rFonts w:hint="eastAsia" w:ascii="仿宋" w:hAnsi="仿宋" w:eastAsia="仿宋"/>
          <w:color w:val="000000" w:themeColor="text1"/>
          <w:sz w:val="24"/>
          <w:szCs w:val="24"/>
          <w14:textFill>
            <w14:solidFill>
              <w14:schemeClr w14:val="tx1"/>
            </w14:solidFill>
          </w14:textFill>
        </w:rPr>
        <w:t>公开询价</w:t>
      </w:r>
      <w:r>
        <w:rPr>
          <w:rFonts w:ascii="仿宋" w:hAnsi="仿宋" w:eastAsia="仿宋"/>
          <w:color w:val="000000" w:themeColor="text1"/>
          <w:sz w:val="24"/>
          <w:szCs w:val="24"/>
          <w14:textFill>
            <w14:solidFill>
              <w14:schemeClr w14:val="tx1"/>
            </w14:solidFill>
          </w14:textFill>
        </w:rPr>
        <w:t>文件。</w:t>
      </w:r>
    </w:p>
    <w:p>
      <w:pPr>
        <w:spacing w:after="0" w:line="240" w:lineRule="auto"/>
        <w:ind w:right="1440"/>
        <w:jc w:val="right"/>
        <w:rPr>
          <w:rFonts w:ascii="仿宋" w:hAnsi="仿宋" w:eastAsia="仿宋"/>
          <w:color w:val="000000" w:themeColor="text1"/>
          <w:sz w:val="24"/>
          <w:szCs w:val="24"/>
          <w:lang w:val="zh-CN"/>
          <w14:textFill>
            <w14:solidFill>
              <w14:schemeClr w14:val="tx1"/>
            </w14:solidFill>
          </w14:textFill>
        </w:rPr>
      </w:pPr>
      <w:r>
        <w:rPr>
          <w:rFonts w:hint="eastAsia" w:ascii="仿宋" w:hAnsi="仿宋" w:eastAsia="仿宋"/>
          <w:color w:val="000000" w:themeColor="text1"/>
          <w:sz w:val="24"/>
          <w:szCs w:val="24"/>
          <w:lang w:val="zh-CN"/>
          <w14:textFill>
            <w14:solidFill>
              <w14:schemeClr w14:val="tx1"/>
            </w14:solidFill>
          </w14:textFill>
        </w:rPr>
        <w:t>参与人授权代表</w:t>
      </w:r>
      <w:r>
        <w:rPr>
          <w:rFonts w:ascii="仿宋" w:hAnsi="仿宋" w:eastAsia="仿宋"/>
          <w:color w:val="000000" w:themeColor="text1"/>
          <w:sz w:val="24"/>
          <w:szCs w:val="24"/>
          <w:lang w:val="zh-CN"/>
          <w14:textFill>
            <w14:solidFill>
              <w14:schemeClr w14:val="tx1"/>
            </w14:solidFill>
          </w14:textFill>
        </w:rPr>
        <w:t>（签字</w:t>
      </w:r>
      <w:r>
        <w:rPr>
          <w:rFonts w:hint="eastAsia" w:ascii="仿宋" w:hAnsi="仿宋" w:eastAsia="仿宋"/>
          <w:color w:val="000000" w:themeColor="text1"/>
          <w:sz w:val="24"/>
          <w:szCs w:val="24"/>
          <w:lang w:val="zh-CN"/>
          <w14:textFill>
            <w14:solidFill>
              <w14:schemeClr w14:val="tx1"/>
            </w14:solidFill>
          </w14:textFill>
        </w:rPr>
        <w:t>或盖章</w:t>
      </w:r>
      <w:r>
        <w:rPr>
          <w:rFonts w:ascii="仿宋" w:hAnsi="仿宋" w:eastAsia="仿宋"/>
          <w:color w:val="000000" w:themeColor="text1"/>
          <w:sz w:val="24"/>
          <w:szCs w:val="24"/>
          <w:lang w:val="zh-CN"/>
          <w14:textFill>
            <w14:solidFill>
              <w14:schemeClr w14:val="tx1"/>
            </w14:solidFill>
          </w14:textFill>
        </w:rPr>
        <w:t>）：</w:t>
      </w:r>
    </w:p>
    <w:p>
      <w:pPr>
        <w:spacing w:after="0" w:line="240" w:lineRule="auto"/>
        <w:ind w:right="1406"/>
        <w:jc w:val="right"/>
        <w:rPr>
          <w:rFonts w:ascii="仿宋" w:hAnsi="仿宋" w:eastAsia="仿宋"/>
          <w:color w:val="000000" w:themeColor="text1"/>
          <w:sz w:val="24"/>
          <w:szCs w:val="24"/>
          <w:lang w:val="zh-CN"/>
          <w14:textFill>
            <w14:solidFill>
              <w14:schemeClr w14:val="tx1"/>
            </w14:solidFill>
          </w14:textFill>
        </w:rPr>
        <w:sectPr>
          <w:headerReference r:id="rId10" w:type="first"/>
          <w:headerReference r:id="rId9" w:type="default"/>
          <w:footerReference r:id="rId11"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 w:val="24"/>
          <w:szCs w:val="24"/>
          <w:lang w:val="zh-CN"/>
          <w14:textFill>
            <w14:solidFill>
              <w14:schemeClr w14:val="tx1"/>
            </w14:solidFill>
          </w14:textFill>
        </w:rPr>
        <w:t xml:space="preserve">日 </w:t>
      </w:r>
      <w:r>
        <w:rPr>
          <w:rFonts w:ascii="仿宋" w:hAnsi="仿宋" w:eastAsia="仿宋"/>
          <w:color w:val="000000" w:themeColor="text1"/>
          <w:sz w:val="24"/>
          <w:szCs w:val="24"/>
          <w:lang w:val="zh-CN"/>
          <w14:textFill>
            <w14:solidFill>
              <w14:schemeClr w14:val="tx1"/>
            </w14:solidFill>
          </w14:textFill>
        </w:rPr>
        <w:t xml:space="preserve">        </w:t>
      </w:r>
      <w:r>
        <w:rPr>
          <w:rFonts w:hint="eastAsia" w:ascii="仿宋" w:hAnsi="仿宋" w:eastAsia="仿宋"/>
          <w:color w:val="000000" w:themeColor="text1"/>
          <w:sz w:val="24"/>
          <w:szCs w:val="24"/>
          <w:lang w:val="zh-CN"/>
          <w14:textFill>
            <w14:solidFill>
              <w14:schemeClr w14:val="tx1"/>
            </w14:solidFill>
          </w14:textFill>
        </w:rPr>
        <w:t>期：</w:t>
      </w:r>
      <w:bookmarkStart w:id="118" w:name="_Toc160880534"/>
      <w:bookmarkStart w:id="119" w:name="_Toc169332843"/>
      <w:bookmarkStart w:id="120" w:name="_Toc267059186"/>
      <w:bookmarkStart w:id="121" w:name="_Toc182372787"/>
      <w:bookmarkStart w:id="122" w:name="_Toc266868679"/>
      <w:bookmarkStart w:id="123" w:name="_Toc203355738"/>
      <w:bookmarkStart w:id="124" w:name="_Toc193160453"/>
      <w:bookmarkStart w:id="125" w:name="_Toc227058536"/>
      <w:bookmarkStart w:id="126" w:name="_Toc267060326"/>
      <w:bookmarkStart w:id="127" w:name="_Toc235438352"/>
      <w:bookmarkStart w:id="128" w:name="_Toc192996343"/>
      <w:bookmarkStart w:id="129" w:name="_Toc170798798"/>
      <w:bookmarkStart w:id="130" w:name="_Toc213756001"/>
      <w:bookmarkStart w:id="131" w:name="_Toc219800249"/>
      <w:bookmarkStart w:id="132" w:name="_Toc191802695"/>
      <w:bookmarkStart w:id="133" w:name="_Toc235438281"/>
      <w:bookmarkStart w:id="134" w:name="_Toc213755864"/>
      <w:bookmarkStart w:id="135" w:name="_Toc259692656"/>
      <w:bookmarkStart w:id="136" w:name="_Toc223146614"/>
      <w:bookmarkStart w:id="137" w:name="_Toc213208771"/>
      <w:bookmarkStart w:id="138" w:name="_Toc217891408"/>
      <w:bookmarkStart w:id="139" w:name="_Toc267060461"/>
      <w:bookmarkStart w:id="140" w:name="_Toc253066624"/>
      <w:bookmarkStart w:id="141" w:name="_Toc180302918"/>
      <w:bookmarkStart w:id="142" w:name="_Toc181436466"/>
      <w:bookmarkStart w:id="143" w:name="_Toc273178703"/>
      <w:bookmarkStart w:id="144" w:name="_Toc254790909"/>
      <w:bookmarkStart w:id="145" w:name="_Toc191783227"/>
      <w:bookmarkStart w:id="146" w:name="_Toc251586241"/>
      <w:bookmarkStart w:id="147" w:name="_Toc192663840"/>
      <w:bookmarkStart w:id="148" w:name="_Toc191789334"/>
      <w:bookmarkStart w:id="149" w:name="_Toc169332954"/>
      <w:bookmarkStart w:id="150" w:name="_Toc249325720"/>
      <w:bookmarkStart w:id="151" w:name="_Toc191803631"/>
      <w:bookmarkStart w:id="152" w:name="_Toc267059811"/>
      <w:bookmarkStart w:id="153" w:name="_Toc267060076"/>
      <w:bookmarkStart w:id="154" w:name="_Toc177985474"/>
      <w:bookmarkStart w:id="155" w:name="_Toc232302122"/>
      <w:bookmarkStart w:id="156" w:name="_Toc182805222"/>
      <w:bookmarkStart w:id="157" w:name="_Toc258401265"/>
      <w:bookmarkStart w:id="158" w:name="_Toc267059658"/>
      <w:bookmarkStart w:id="159" w:name="_Toc267059035"/>
      <w:bookmarkStart w:id="160" w:name="_Toc193165739"/>
      <w:bookmarkStart w:id="161" w:name="_Toc267059924"/>
      <w:bookmarkStart w:id="162" w:name="_Toc267059544"/>
      <w:bookmarkStart w:id="163" w:name="_Toc235437998"/>
      <w:bookmarkStart w:id="164" w:name="_Toc266870916"/>
      <w:bookmarkStart w:id="165" w:name="_Toc236021457"/>
      <w:bookmarkStart w:id="166" w:name="_Toc192996451"/>
      <w:bookmarkStart w:id="167" w:name="_Toc213756057"/>
      <w:bookmarkStart w:id="168" w:name="_Toc267060216"/>
      <w:bookmarkStart w:id="169" w:name="_Toc255975016"/>
      <w:bookmarkStart w:id="170" w:name="_Toc160880165"/>
      <w:bookmarkStart w:id="171" w:name="_Toc266870441"/>
      <w:bookmarkStart w:id="172" w:name="_Toc230071153"/>
      <w:bookmarkStart w:id="173" w:name="_Toc192663691"/>
      <w:bookmarkStart w:id="174" w:name="_Toc211917121"/>
      <w:bookmarkStart w:id="175" w:name="_Toc225669328"/>
      <w:bookmarkStart w:id="176" w:name="_Toc259520874"/>
      <w:bookmarkStart w:id="177" w:name="_Toc266870839"/>
      <w:bookmarkStart w:id="178" w:name="_Toc213755945"/>
      <w:bookmarkStart w:id="179" w:name="_Toc181436570"/>
      <w:bookmarkStart w:id="180" w:name="_Toc259692749"/>
      <w:bookmarkStart w:id="181" w:name="_Toc251613839"/>
      <w:bookmarkStart w:id="182" w:name="_Toc192664158"/>
      <w:bookmarkStart w:id="183" w:name="_Toc266868943"/>
    </w:p>
    <w:p>
      <w:pPr>
        <w:jc w:val="center"/>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3</w:t>
      </w:r>
      <w:r>
        <w:rPr>
          <w:rFonts w:hint="eastAsia" w:ascii="仿宋" w:hAnsi="仿宋" w:eastAsia="仿宋"/>
          <w:b/>
          <w:bCs/>
          <w:color w:val="000000" w:themeColor="text1"/>
          <w:sz w:val="28"/>
          <w:szCs w:val="28"/>
          <w14:textFill>
            <w14:solidFill>
              <w14:schemeClr w14:val="tx1"/>
            </w14:solidFill>
          </w14:textFill>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hint="eastAsia" w:ascii="仿宋" w:hAnsi="仿宋" w:eastAsia="仿宋"/>
          <w:b/>
          <w:bCs/>
          <w:color w:val="000000" w:themeColor="text1"/>
          <w:sz w:val="28"/>
          <w:szCs w:val="28"/>
          <w14:textFill>
            <w14:solidFill>
              <w14:schemeClr w14:val="tx1"/>
            </w14:solidFill>
          </w14:textFill>
        </w:rPr>
        <w:t>参与人资质材料</w:t>
      </w:r>
    </w:p>
    <w:p>
      <w:p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参与人需要提供以下材料：</w:t>
      </w:r>
    </w:p>
    <w:p>
      <w:pPr>
        <w:pStyle w:val="58"/>
        <w:numPr>
          <w:ilvl w:val="0"/>
          <w:numId w:val="8"/>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营业执照复印件</w:t>
      </w:r>
    </w:p>
    <w:p>
      <w:pPr>
        <w:pStyle w:val="58"/>
        <w:numPr>
          <w:ilvl w:val="0"/>
          <w:numId w:val="8"/>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授权经销商或代理商证明材料复印件</w:t>
      </w:r>
    </w:p>
    <w:p>
      <w:pPr>
        <w:pStyle w:val="58"/>
        <w:numPr>
          <w:ilvl w:val="0"/>
          <w:numId w:val="8"/>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质保期和售后服务承诺书（参与人自行起草）</w:t>
      </w:r>
    </w:p>
    <w:p>
      <w:pPr>
        <w:pStyle w:val="58"/>
        <w:numPr>
          <w:ilvl w:val="0"/>
          <w:numId w:val="8"/>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项目业绩证明</w:t>
      </w: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以上材料复印件须加盖参与人公司公章，并与报价一览表一同密封</w:t>
      </w: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sectPr>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altName w:val="Bahnschrift Light"/>
    <w:panose1 w:val="020B0502020202020204"/>
    <w:charset w:val="00"/>
    <w:family w:val="swiss"/>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Bahnschrift Light">
    <w:panose1 w:val="020B0502040204020203"/>
    <w:charset w:val="00"/>
    <w:family w:val="auto"/>
    <w:pitch w:val="default"/>
    <w:sig w:usb0="A00002C7" w:usb1="00000002"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4199261"/>
    </w:sdtPr>
    <w:sdtContent>
      <w:sdt>
        <w:sdtPr>
          <w:id w:val="1985434202"/>
        </w:sdtPr>
        <w:sdtContent>
          <w:p>
            <w:pPr>
              <w:pStyle w:val="20"/>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w:t>
            </w:r>
            <w:r>
              <w:rPr>
                <w:b/>
                <w:bCs/>
                <w:sz w:val="24"/>
                <w:szCs w:val="24"/>
              </w:rPr>
              <w:fldChar w:fldCharType="end"/>
            </w:r>
            <w:r>
              <w:rPr>
                <w:b/>
                <w:bCs/>
                <w:sz w:val="24"/>
                <w:szCs w:val="24"/>
              </w:rPr>
              <w:t xml:space="preserve">        </w:t>
            </w:r>
          </w:p>
          <w:p>
            <w:pPr>
              <w:pStyle w:val="20"/>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drawing>
        <wp:inline distT="0" distB="0" distL="0" distR="0">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drawing>
        <wp:inline distT="0" distB="0" distL="0" distR="0">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11F0F"/>
    <w:multiLevelType w:val="singleLevel"/>
    <w:tmpl w:val="9B911F0F"/>
    <w:lvl w:ilvl="0" w:tentative="0">
      <w:start w:val="1"/>
      <w:numFmt w:val="chineseCounting"/>
      <w:suff w:val="space"/>
      <w:lvlText w:val="（%1）"/>
      <w:lvlJc w:val="left"/>
      <w:rPr>
        <w:rFonts w:hint="eastAsia"/>
      </w:rPr>
    </w:lvl>
  </w:abstractNum>
  <w:abstractNum w:abstractNumId="1">
    <w:nsid w:val="047476F1"/>
    <w:multiLevelType w:val="multilevel"/>
    <w:tmpl w:val="047476F1"/>
    <w:lvl w:ilvl="0" w:tentative="0">
      <w:start w:val="1"/>
      <w:numFmt w:val="decimal"/>
      <w:lvlText w:val="（%1）"/>
      <w:lvlJc w:val="left"/>
      <w:pPr>
        <w:ind w:left="1428" w:hanging="720"/>
      </w:pPr>
      <w:rPr>
        <w:rFonts w:hint="default"/>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2">
    <w:nsid w:val="20B57BC1"/>
    <w:multiLevelType w:val="multilevel"/>
    <w:tmpl w:val="20B57BC1"/>
    <w:lvl w:ilvl="0" w:tentative="0">
      <w:start w:val="5"/>
      <w:numFmt w:val="decimal"/>
      <w:lvlText w:val="（%1）"/>
      <w:lvlJc w:val="left"/>
      <w:pPr>
        <w:ind w:left="1559" w:hanging="720"/>
      </w:pPr>
      <w:rPr>
        <w:rFonts w:hint="default"/>
      </w:rPr>
    </w:lvl>
    <w:lvl w:ilvl="1" w:tentative="0">
      <w:start w:val="1"/>
      <w:numFmt w:val="lowerLetter"/>
      <w:lvlText w:val="%2)"/>
      <w:lvlJc w:val="left"/>
      <w:pPr>
        <w:ind w:left="1679" w:hanging="420"/>
      </w:pPr>
    </w:lvl>
    <w:lvl w:ilvl="2" w:tentative="0">
      <w:start w:val="1"/>
      <w:numFmt w:val="lowerRoman"/>
      <w:lvlText w:val="%3."/>
      <w:lvlJc w:val="right"/>
      <w:pPr>
        <w:ind w:left="2099" w:hanging="420"/>
      </w:pPr>
    </w:lvl>
    <w:lvl w:ilvl="3" w:tentative="0">
      <w:start w:val="1"/>
      <w:numFmt w:val="decimal"/>
      <w:lvlText w:val="%4."/>
      <w:lvlJc w:val="left"/>
      <w:pPr>
        <w:ind w:left="2519" w:hanging="420"/>
      </w:pPr>
    </w:lvl>
    <w:lvl w:ilvl="4" w:tentative="0">
      <w:start w:val="1"/>
      <w:numFmt w:val="lowerLetter"/>
      <w:lvlText w:val="%5)"/>
      <w:lvlJc w:val="left"/>
      <w:pPr>
        <w:ind w:left="2939" w:hanging="420"/>
      </w:pPr>
    </w:lvl>
    <w:lvl w:ilvl="5" w:tentative="0">
      <w:start w:val="1"/>
      <w:numFmt w:val="lowerRoman"/>
      <w:lvlText w:val="%6."/>
      <w:lvlJc w:val="right"/>
      <w:pPr>
        <w:ind w:left="3359" w:hanging="420"/>
      </w:pPr>
    </w:lvl>
    <w:lvl w:ilvl="6" w:tentative="0">
      <w:start w:val="1"/>
      <w:numFmt w:val="decimal"/>
      <w:lvlText w:val="%7."/>
      <w:lvlJc w:val="left"/>
      <w:pPr>
        <w:ind w:left="3779" w:hanging="420"/>
      </w:pPr>
    </w:lvl>
    <w:lvl w:ilvl="7" w:tentative="0">
      <w:start w:val="1"/>
      <w:numFmt w:val="lowerLetter"/>
      <w:lvlText w:val="%8)"/>
      <w:lvlJc w:val="left"/>
      <w:pPr>
        <w:ind w:left="4199" w:hanging="420"/>
      </w:pPr>
    </w:lvl>
    <w:lvl w:ilvl="8" w:tentative="0">
      <w:start w:val="1"/>
      <w:numFmt w:val="lowerRoman"/>
      <w:lvlText w:val="%9."/>
      <w:lvlJc w:val="right"/>
      <w:pPr>
        <w:ind w:left="4619" w:hanging="420"/>
      </w:pPr>
    </w:lvl>
  </w:abstractNum>
  <w:abstractNum w:abstractNumId="3">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9C41BB1"/>
    <w:multiLevelType w:val="multilevel"/>
    <w:tmpl w:val="49C41BB1"/>
    <w:lvl w:ilvl="0" w:tentative="0">
      <w:start w:val="1"/>
      <w:numFmt w:val="decimal"/>
      <w:lvlText w:val="%1."/>
      <w:lvlJc w:val="left"/>
      <w:pPr>
        <w:ind w:left="785" w:hanging="420"/>
      </w:pPr>
    </w:lvl>
    <w:lvl w:ilvl="1" w:tentative="0">
      <w:start w:val="1"/>
      <w:numFmt w:val="lowerLetter"/>
      <w:lvlText w:val="%2)"/>
      <w:lvlJc w:val="left"/>
      <w:pPr>
        <w:ind w:left="1205" w:hanging="420"/>
      </w:pPr>
    </w:lvl>
    <w:lvl w:ilvl="2" w:tentative="0">
      <w:start w:val="1"/>
      <w:numFmt w:val="lowerRoman"/>
      <w:lvlText w:val="%3."/>
      <w:lvlJc w:val="right"/>
      <w:pPr>
        <w:ind w:left="1625" w:hanging="420"/>
      </w:pPr>
    </w:lvl>
    <w:lvl w:ilvl="3" w:tentative="0">
      <w:start w:val="1"/>
      <w:numFmt w:val="decimal"/>
      <w:lvlText w:val="%4."/>
      <w:lvlJc w:val="left"/>
      <w:pPr>
        <w:ind w:left="2045" w:hanging="420"/>
      </w:pPr>
    </w:lvl>
    <w:lvl w:ilvl="4" w:tentative="0">
      <w:start w:val="1"/>
      <w:numFmt w:val="lowerLetter"/>
      <w:lvlText w:val="%5)"/>
      <w:lvlJc w:val="left"/>
      <w:pPr>
        <w:ind w:left="2465" w:hanging="420"/>
      </w:pPr>
    </w:lvl>
    <w:lvl w:ilvl="5" w:tentative="0">
      <w:start w:val="1"/>
      <w:numFmt w:val="lowerRoman"/>
      <w:lvlText w:val="%6."/>
      <w:lvlJc w:val="right"/>
      <w:pPr>
        <w:ind w:left="2885" w:hanging="420"/>
      </w:pPr>
    </w:lvl>
    <w:lvl w:ilvl="6" w:tentative="0">
      <w:start w:val="1"/>
      <w:numFmt w:val="decimal"/>
      <w:lvlText w:val="%7."/>
      <w:lvlJc w:val="left"/>
      <w:pPr>
        <w:ind w:left="3305" w:hanging="420"/>
      </w:pPr>
    </w:lvl>
    <w:lvl w:ilvl="7" w:tentative="0">
      <w:start w:val="1"/>
      <w:numFmt w:val="lowerLetter"/>
      <w:lvlText w:val="%8)"/>
      <w:lvlJc w:val="left"/>
      <w:pPr>
        <w:ind w:left="3725" w:hanging="420"/>
      </w:pPr>
    </w:lvl>
    <w:lvl w:ilvl="8" w:tentative="0">
      <w:start w:val="1"/>
      <w:numFmt w:val="lowerRoman"/>
      <w:lvlText w:val="%9."/>
      <w:lvlJc w:val="right"/>
      <w:pPr>
        <w:ind w:left="4145" w:hanging="420"/>
      </w:pPr>
    </w:lvl>
  </w:abstractNum>
  <w:abstractNum w:abstractNumId="5">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0000490C"/>
    <w:rsid w:val="000348A6"/>
    <w:rsid w:val="000569E1"/>
    <w:rsid w:val="00074B20"/>
    <w:rsid w:val="00082572"/>
    <w:rsid w:val="000934D4"/>
    <w:rsid w:val="000A4CA1"/>
    <w:rsid w:val="000B0F16"/>
    <w:rsid w:val="000B3351"/>
    <w:rsid w:val="000F4F45"/>
    <w:rsid w:val="00124995"/>
    <w:rsid w:val="0013118F"/>
    <w:rsid w:val="001561E9"/>
    <w:rsid w:val="00176CD4"/>
    <w:rsid w:val="00182C6E"/>
    <w:rsid w:val="0019033E"/>
    <w:rsid w:val="001A5B43"/>
    <w:rsid w:val="001B719E"/>
    <w:rsid w:val="001C6943"/>
    <w:rsid w:val="00235C32"/>
    <w:rsid w:val="00244E90"/>
    <w:rsid w:val="0026365C"/>
    <w:rsid w:val="0026577A"/>
    <w:rsid w:val="002772BB"/>
    <w:rsid w:val="00286467"/>
    <w:rsid w:val="00295590"/>
    <w:rsid w:val="002C2C3D"/>
    <w:rsid w:val="002C4297"/>
    <w:rsid w:val="002E6615"/>
    <w:rsid w:val="00334E6F"/>
    <w:rsid w:val="003570A0"/>
    <w:rsid w:val="00380FDB"/>
    <w:rsid w:val="003C5808"/>
    <w:rsid w:val="003C60EF"/>
    <w:rsid w:val="003D3C2D"/>
    <w:rsid w:val="003E6439"/>
    <w:rsid w:val="003F20A6"/>
    <w:rsid w:val="00404FA2"/>
    <w:rsid w:val="004242F4"/>
    <w:rsid w:val="0043243C"/>
    <w:rsid w:val="00441955"/>
    <w:rsid w:val="00455734"/>
    <w:rsid w:val="004B66B1"/>
    <w:rsid w:val="004C7098"/>
    <w:rsid w:val="00502F52"/>
    <w:rsid w:val="00582530"/>
    <w:rsid w:val="00590957"/>
    <w:rsid w:val="005A5A4D"/>
    <w:rsid w:val="005F1FC8"/>
    <w:rsid w:val="00630374"/>
    <w:rsid w:val="00662F84"/>
    <w:rsid w:val="006F3C71"/>
    <w:rsid w:val="006F5FBA"/>
    <w:rsid w:val="0079458B"/>
    <w:rsid w:val="007A0AF6"/>
    <w:rsid w:val="007B0F09"/>
    <w:rsid w:val="007B2319"/>
    <w:rsid w:val="007B41E0"/>
    <w:rsid w:val="007C43A7"/>
    <w:rsid w:val="00820F76"/>
    <w:rsid w:val="00842FA9"/>
    <w:rsid w:val="00865B30"/>
    <w:rsid w:val="00874219"/>
    <w:rsid w:val="008902DC"/>
    <w:rsid w:val="008C58EC"/>
    <w:rsid w:val="00916532"/>
    <w:rsid w:val="00923C7E"/>
    <w:rsid w:val="00936704"/>
    <w:rsid w:val="00951205"/>
    <w:rsid w:val="009606BC"/>
    <w:rsid w:val="00967E57"/>
    <w:rsid w:val="00994E59"/>
    <w:rsid w:val="009A3A7F"/>
    <w:rsid w:val="00A127A1"/>
    <w:rsid w:val="00A148CE"/>
    <w:rsid w:val="00A24465"/>
    <w:rsid w:val="00A40610"/>
    <w:rsid w:val="00A4220E"/>
    <w:rsid w:val="00A44A63"/>
    <w:rsid w:val="00A64A5B"/>
    <w:rsid w:val="00AD29A3"/>
    <w:rsid w:val="00AF3C2A"/>
    <w:rsid w:val="00B14C37"/>
    <w:rsid w:val="00B54440"/>
    <w:rsid w:val="00B554E7"/>
    <w:rsid w:val="00B80FFC"/>
    <w:rsid w:val="00BD49FB"/>
    <w:rsid w:val="00BD7232"/>
    <w:rsid w:val="00BE1921"/>
    <w:rsid w:val="00BE748A"/>
    <w:rsid w:val="00C035B5"/>
    <w:rsid w:val="00C328CE"/>
    <w:rsid w:val="00C66E1E"/>
    <w:rsid w:val="00C676BA"/>
    <w:rsid w:val="00C81AB4"/>
    <w:rsid w:val="00C857BF"/>
    <w:rsid w:val="00C94AC0"/>
    <w:rsid w:val="00CA21F0"/>
    <w:rsid w:val="00CC39FD"/>
    <w:rsid w:val="00D2102C"/>
    <w:rsid w:val="00D229E8"/>
    <w:rsid w:val="00D36D52"/>
    <w:rsid w:val="00D56DEA"/>
    <w:rsid w:val="00D64059"/>
    <w:rsid w:val="00DB6737"/>
    <w:rsid w:val="00E11567"/>
    <w:rsid w:val="00E14FB0"/>
    <w:rsid w:val="00E3310A"/>
    <w:rsid w:val="00E33B9E"/>
    <w:rsid w:val="00E33C1C"/>
    <w:rsid w:val="00E33D9F"/>
    <w:rsid w:val="00E45686"/>
    <w:rsid w:val="00E50272"/>
    <w:rsid w:val="00E50977"/>
    <w:rsid w:val="00E761EA"/>
    <w:rsid w:val="00E77305"/>
    <w:rsid w:val="00E83979"/>
    <w:rsid w:val="00E95973"/>
    <w:rsid w:val="00EC53CA"/>
    <w:rsid w:val="00ED2437"/>
    <w:rsid w:val="00EE3803"/>
    <w:rsid w:val="00F0149B"/>
    <w:rsid w:val="00F8646A"/>
    <w:rsid w:val="00F876DE"/>
    <w:rsid w:val="00FE51A3"/>
    <w:rsid w:val="00FF1750"/>
    <w:rsid w:val="02DD7C28"/>
    <w:rsid w:val="04477B4E"/>
    <w:rsid w:val="09DF6CDA"/>
    <w:rsid w:val="0B9F295E"/>
    <w:rsid w:val="0E9B36D4"/>
    <w:rsid w:val="11FA2921"/>
    <w:rsid w:val="16E53857"/>
    <w:rsid w:val="1C023A9F"/>
    <w:rsid w:val="263C0B20"/>
    <w:rsid w:val="2F560C90"/>
    <w:rsid w:val="314F5F72"/>
    <w:rsid w:val="31E56FA0"/>
    <w:rsid w:val="35151C0C"/>
    <w:rsid w:val="389272E2"/>
    <w:rsid w:val="38B1365F"/>
    <w:rsid w:val="3FA30AF3"/>
    <w:rsid w:val="42C37121"/>
    <w:rsid w:val="4CE201C3"/>
    <w:rsid w:val="514D6724"/>
    <w:rsid w:val="5807694A"/>
    <w:rsid w:val="584B4715"/>
    <w:rsid w:val="6022748D"/>
    <w:rsid w:val="61C946E1"/>
    <w:rsid w:val="65A140BB"/>
    <w:rsid w:val="67CD0E84"/>
    <w:rsid w:val="705D3598"/>
    <w:rsid w:val="77A461EF"/>
    <w:rsid w:val="77BE214F"/>
    <w:rsid w:val="780061ED"/>
    <w:rsid w:val="7FBD5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5">
    <w:name w:val="heading 1"/>
    <w:basedOn w:val="1"/>
    <w:next w:val="1"/>
    <w:link w:val="32"/>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6">
    <w:name w:val="heading 2"/>
    <w:basedOn w:val="1"/>
    <w:next w:val="1"/>
    <w:link w:val="33"/>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7">
    <w:name w:val="heading 3"/>
    <w:basedOn w:val="1"/>
    <w:next w:val="1"/>
    <w:link w:val="34"/>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8">
    <w:name w:val="heading 4"/>
    <w:basedOn w:val="1"/>
    <w:next w:val="1"/>
    <w:link w:val="35"/>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9">
    <w:name w:val="heading 5"/>
    <w:basedOn w:val="1"/>
    <w:next w:val="1"/>
    <w:link w:val="36"/>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10">
    <w:name w:val="heading 6"/>
    <w:basedOn w:val="1"/>
    <w:next w:val="1"/>
    <w:link w:val="37"/>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11">
    <w:name w:val="heading 7"/>
    <w:basedOn w:val="1"/>
    <w:next w:val="1"/>
    <w:link w:val="38"/>
    <w:semiHidden/>
    <w:unhideWhenUsed/>
    <w:qFormat/>
    <w:uiPriority w:val="9"/>
    <w:pPr>
      <w:keepNext/>
      <w:keepLines/>
      <w:spacing w:before="120" w:after="0"/>
      <w:outlineLvl w:val="6"/>
    </w:pPr>
    <w:rPr>
      <w:i/>
      <w:iCs/>
    </w:rPr>
  </w:style>
  <w:style w:type="paragraph" w:styleId="12">
    <w:name w:val="heading 8"/>
    <w:basedOn w:val="1"/>
    <w:next w:val="1"/>
    <w:link w:val="39"/>
    <w:semiHidden/>
    <w:unhideWhenUsed/>
    <w:qFormat/>
    <w:uiPriority w:val="9"/>
    <w:pPr>
      <w:keepNext/>
      <w:keepLines/>
      <w:spacing w:before="120" w:after="0"/>
      <w:outlineLvl w:val="7"/>
    </w:pPr>
    <w:rPr>
      <w:b/>
      <w:bCs/>
    </w:rPr>
  </w:style>
  <w:style w:type="paragraph" w:styleId="13">
    <w:name w:val="heading 9"/>
    <w:basedOn w:val="1"/>
    <w:next w:val="1"/>
    <w:link w:val="40"/>
    <w:semiHidden/>
    <w:unhideWhenUsed/>
    <w:qFormat/>
    <w:uiPriority w:val="9"/>
    <w:pPr>
      <w:keepNext/>
      <w:keepLines/>
      <w:spacing w:before="120" w:after="0"/>
      <w:outlineLvl w:val="8"/>
    </w:pPr>
    <w:rPr>
      <w:i/>
      <w:iCs/>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3">
    <w:name w:val="Body Text"/>
    <w:basedOn w:val="1"/>
    <w:next w:val="4"/>
    <w:link w:val="62"/>
    <w:semiHidden/>
    <w:unhideWhenUsed/>
    <w:qFormat/>
    <w:uiPriority w:val="99"/>
    <w:pPr>
      <w:spacing w:after="120"/>
    </w:pPr>
  </w:style>
  <w:style w:type="paragraph" w:customStyle="1" w:styleId="4">
    <w:name w:val="引用1"/>
    <w:basedOn w:val="1"/>
    <w:next w:val="1"/>
    <w:qFormat/>
    <w:uiPriority w:val="29"/>
    <w:rPr>
      <w:i/>
      <w:iCs/>
      <w:color w:val="000000"/>
      <w:szCs w:val="20"/>
    </w:rPr>
  </w:style>
  <w:style w:type="paragraph" w:styleId="14">
    <w:name w:val="caption"/>
    <w:basedOn w:val="1"/>
    <w:next w:val="1"/>
    <w:semiHidden/>
    <w:unhideWhenUsed/>
    <w:qFormat/>
    <w:uiPriority w:val="35"/>
    <w:rPr>
      <w:b/>
      <w:bCs/>
      <w:sz w:val="18"/>
      <w:szCs w:val="18"/>
    </w:rPr>
  </w:style>
  <w:style w:type="paragraph" w:styleId="15">
    <w:name w:val="annotation text"/>
    <w:basedOn w:val="1"/>
    <w:semiHidden/>
    <w:unhideWhenUsed/>
    <w:qFormat/>
    <w:uiPriority w:val="99"/>
    <w:pPr>
      <w:jc w:val="left"/>
    </w:pPr>
  </w:style>
  <w:style w:type="paragraph" w:styleId="16">
    <w:name w:val="toc 3"/>
    <w:basedOn w:val="1"/>
    <w:next w:val="1"/>
    <w:unhideWhenUsed/>
    <w:qFormat/>
    <w:uiPriority w:val="39"/>
    <w:pPr>
      <w:spacing w:after="100" w:line="259" w:lineRule="auto"/>
      <w:ind w:left="440"/>
      <w:jc w:val="left"/>
    </w:pPr>
    <w:rPr>
      <w:rFonts w:cs="Times New Roman"/>
    </w:rPr>
  </w:style>
  <w:style w:type="paragraph" w:styleId="17">
    <w:name w:val="Plain Text"/>
    <w:basedOn w:val="1"/>
    <w:link w:val="61"/>
    <w:unhideWhenUsed/>
    <w:qFormat/>
    <w:uiPriority w:val="0"/>
    <w:rPr>
      <w:rFonts w:hAnsi="Courier New" w:cs="Courier New" w:asciiTheme="minorEastAsia"/>
    </w:rPr>
  </w:style>
  <w:style w:type="paragraph" w:styleId="18">
    <w:name w:val="Date"/>
    <w:basedOn w:val="1"/>
    <w:next w:val="1"/>
    <w:link w:val="64"/>
    <w:semiHidden/>
    <w:unhideWhenUsed/>
    <w:qFormat/>
    <w:uiPriority w:val="99"/>
    <w:pPr>
      <w:ind w:left="100" w:leftChars="2500"/>
    </w:pPr>
  </w:style>
  <w:style w:type="paragraph" w:styleId="19">
    <w:name w:val="Balloon Text"/>
    <w:basedOn w:val="1"/>
    <w:link w:val="65"/>
    <w:semiHidden/>
    <w:unhideWhenUsed/>
    <w:qFormat/>
    <w:uiPriority w:val="99"/>
    <w:pPr>
      <w:spacing w:after="0" w:line="240" w:lineRule="auto"/>
    </w:pPr>
    <w:rPr>
      <w:sz w:val="18"/>
      <w:szCs w:val="18"/>
    </w:rPr>
  </w:style>
  <w:style w:type="paragraph" w:styleId="20">
    <w:name w:val="footer"/>
    <w:basedOn w:val="1"/>
    <w:link w:val="57"/>
    <w:unhideWhenUsed/>
    <w:qFormat/>
    <w:uiPriority w:val="99"/>
    <w:pPr>
      <w:tabs>
        <w:tab w:val="center" w:pos="4153"/>
        <w:tab w:val="right" w:pos="8306"/>
      </w:tabs>
      <w:snapToGrid w:val="0"/>
      <w:spacing w:line="240" w:lineRule="auto"/>
      <w:jc w:val="left"/>
    </w:pPr>
    <w:rPr>
      <w:sz w:val="18"/>
      <w:szCs w:val="18"/>
    </w:rPr>
  </w:style>
  <w:style w:type="paragraph" w:styleId="21">
    <w:name w:val="header"/>
    <w:basedOn w:val="1"/>
    <w:link w:val="5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2">
    <w:name w:val="toc 1"/>
    <w:basedOn w:val="1"/>
    <w:next w:val="1"/>
    <w:unhideWhenUsed/>
    <w:qFormat/>
    <w:uiPriority w:val="39"/>
    <w:pPr>
      <w:spacing w:after="100" w:line="259" w:lineRule="auto"/>
      <w:jc w:val="left"/>
    </w:pPr>
    <w:rPr>
      <w:rFonts w:cs="Times New Roman"/>
    </w:rPr>
  </w:style>
  <w:style w:type="paragraph" w:styleId="23">
    <w:name w:val="Subtitle"/>
    <w:basedOn w:val="1"/>
    <w:next w:val="1"/>
    <w:link w:val="42"/>
    <w:qFormat/>
    <w:uiPriority w:val="11"/>
    <w:pPr>
      <w:spacing w:after="240"/>
      <w:jc w:val="center"/>
    </w:pPr>
    <w:rPr>
      <w:rFonts w:asciiTheme="majorHAnsi" w:hAnsiTheme="majorHAnsi" w:eastAsiaTheme="majorEastAsia" w:cstheme="majorBidi"/>
      <w:sz w:val="24"/>
      <w:szCs w:val="24"/>
    </w:rPr>
  </w:style>
  <w:style w:type="paragraph" w:styleId="24">
    <w:name w:val="Body Text Indent 3"/>
    <w:basedOn w:val="1"/>
    <w:link w:val="59"/>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5">
    <w:name w:val="toc 2"/>
    <w:basedOn w:val="1"/>
    <w:next w:val="1"/>
    <w:unhideWhenUsed/>
    <w:qFormat/>
    <w:uiPriority w:val="39"/>
    <w:pPr>
      <w:spacing w:after="100" w:line="259" w:lineRule="auto"/>
      <w:ind w:left="220"/>
      <w:jc w:val="left"/>
    </w:pPr>
    <w:rPr>
      <w:rFonts w:cs="Times New Roman"/>
    </w:rPr>
  </w:style>
  <w:style w:type="paragraph" w:styleId="26">
    <w:name w:val="Title"/>
    <w:basedOn w:val="1"/>
    <w:next w:val="1"/>
    <w:link w:val="41"/>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customStyle="1" w:styleId="32">
    <w:name w:val="标题 1 字符"/>
    <w:basedOn w:val="28"/>
    <w:link w:val="5"/>
    <w:qFormat/>
    <w:uiPriority w:val="9"/>
    <w:rPr>
      <w:rFonts w:asciiTheme="majorHAnsi" w:hAnsiTheme="majorHAnsi" w:eastAsiaTheme="majorEastAsia" w:cstheme="majorBidi"/>
      <w:b/>
      <w:bCs/>
      <w:caps/>
      <w:spacing w:val="4"/>
      <w:sz w:val="28"/>
      <w:szCs w:val="28"/>
    </w:rPr>
  </w:style>
  <w:style w:type="character" w:customStyle="1" w:styleId="33">
    <w:name w:val="标题 2 字符"/>
    <w:basedOn w:val="28"/>
    <w:link w:val="6"/>
    <w:qFormat/>
    <w:uiPriority w:val="9"/>
    <w:rPr>
      <w:rFonts w:asciiTheme="majorHAnsi" w:hAnsiTheme="majorHAnsi" w:eastAsiaTheme="majorEastAsia" w:cstheme="majorBidi"/>
      <w:b/>
      <w:bCs/>
      <w:sz w:val="28"/>
      <w:szCs w:val="28"/>
    </w:rPr>
  </w:style>
  <w:style w:type="character" w:customStyle="1" w:styleId="34">
    <w:name w:val="标题 3 字符"/>
    <w:basedOn w:val="28"/>
    <w:link w:val="7"/>
    <w:semiHidden/>
    <w:qFormat/>
    <w:uiPriority w:val="9"/>
    <w:rPr>
      <w:rFonts w:asciiTheme="majorHAnsi" w:hAnsiTheme="majorHAnsi" w:eastAsiaTheme="majorEastAsia" w:cstheme="majorBidi"/>
      <w:spacing w:val="4"/>
      <w:sz w:val="24"/>
      <w:szCs w:val="24"/>
    </w:rPr>
  </w:style>
  <w:style w:type="character" w:customStyle="1" w:styleId="35">
    <w:name w:val="标题 4 字符"/>
    <w:basedOn w:val="28"/>
    <w:link w:val="8"/>
    <w:semiHidden/>
    <w:qFormat/>
    <w:uiPriority w:val="9"/>
    <w:rPr>
      <w:rFonts w:asciiTheme="majorHAnsi" w:hAnsiTheme="majorHAnsi" w:eastAsiaTheme="majorEastAsia" w:cstheme="majorBidi"/>
      <w:i/>
      <w:iCs/>
      <w:sz w:val="24"/>
      <w:szCs w:val="24"/>
    </w:rPr>
  </w:style>
  <w:style w:type="character" w:customStyle="1" w:styleId="36">
    <w:name w:val="标题 5 字符"/>
    <w:basedOn w:val="28"/>
    <w:link w:val="9"/>
    <w:semiHidden/>
    <w:qFormat/>
    <w:uiPriority w:val="9"/>
    <w:rPr>
      <w:rFonts w:asciiTheme="majorHAnsi" w:hAnsiTheme="majorHAnsi" w:eastAsiaTheme="majorEastAsia" w:cstheme="majorBidi"/>
      <w:b/>
      <w:bCs/>
    </w:rPr>
  </w:style>
  <w:style w:type="character" w:customStyle="1" w:styleId="37">
    <w:name w:val="标题 6 字符"/>
    <w:basedOn w:val="28"/>
    <w:link w:val="10"/>
    <w:semiHidden/>
    <w:qFormat/>
    <w:uiPriority w:val="9"/>
    <w:rPr>
      <w:rFonts w:asciiTheme="majorHAnsi" w:hAnsiTheme="majorHAnsi" w:eastAsiaTheme="majorEastAsia" w:cstheme="majorBidi"/>
      <w:b/>
      <w:bCs/>
      <w:i/>
      <w:iCs/>
    </w:rPr>
  </w:style>
  <w:style w:type="character" w:customStyle="1" w:styleId="38">
    <w:name w:val="标题 7 字符"/>
    <w:basedOn w:val="28"/>
    <w:link w:val="11"/>
    <w:semiHidden/>
    <w:qFormat/>
    <w:uiPriority w:val="9"/>
    <w:rPr>
      <w:i/>
      <w:iCs/>
    </w:rPr>
  </w:style>
  <w:style w:type="character" w:customStyle="1" w:styleId="39">
    <w:name w:val="标题 8 字符"/>
    <w:basedOn w:val="28"/>
    <w:link w:val="12"/>
    <w:semiHidden/>
    <w:qFormat/>
    <w:uiPriority w:val="9"/>
    <w:rPr>
      <w:b/>
      <w:bCs/>
    </w:rPr>
  </w:style>
  <w:style w:type="character" w:customStyle="1" w:styleId="40">
    <w:name w:val="标题 9 字符"/>
    <w:basedOn w:val="28"/>
    <w:link w:val="13"/>
    <w:semiHidden/>
    <w:qFormat/>
    <w:uiPriority w:val="9"/>
    <w:rPr>
      <w:i/>
      <w:iCs/>
    </w:rPr>
  </w:style>
  <w:style w:type="character" w:customStyle="1" w:styleId="41">
    <w:name w:val="标题 字符"/>
    <w:basedOn w:val="28"/>
    <w:link w:val="26"/>
    <w:qFormat/>
    <w:uiPriority w:val="10"/>
    <w:rPr>
      <w:rFonts w:asciiTheme="majorHAnsi" w:hAnsiTheme="majorHAnsi" w:eastAsiaTheme="majorEastAsia" w:cstheme="majorBidi"/>
      <w:b/>
      <w:bCs/>
      <w:spacing w:val="-7"/>
      <w:sz w:val="48"/>
      <w:szCs w:val="48"/>
    </w:rPr>
  </w:style>
  <w:style w:type="character" w:customStyle="1" w:styleId="42">
    <w:name w:val="副标题 字符"/>
    <w:basedOn w:val="28"/>
    <w:link w:val="23"/>
    <w:qFormat/>
    <w:uiPriority w:val="11"/>
    <w:rPr>
      <w:rFonts w:asciiTheme="majorHAnsi" w:hAnsiTheme="majorHAnsi" w:eastAsiaTheme="majorEastAsia" w:cstheme="majorBidi"/>
      <w:sz w:val="24"/>
      <w:szCs w:val="24"/>
    </w:rPr>
  </w:style>
  <w:style w:type="paragraph" w:styleId="43">
    <w:name w:val="No Spacing"/>
    <w:link w:val="54"/>
    <w:qFormat/>
    <w:uiPriority w:val="1"/>
    <w:pPr>
      <w:jc w:val="both"/>
    </w:pPr>
    <w:rPr>
      <w:rFonts w:asciiTheme="minorHAnsi" w:hAnsiTheme="minorHAnsi" w:eastAsiaTheme="minorEastAsia" w:cstheme="minorBidi"/>
      <w:sz w:val="22"/>
      <w:szCs w:val="22"/>
      <w:lang w:val="en-US" w:eastAsia="zh-CN" w:bidi="ar-SA"/>
    </w:rPr>
  </w:style>
  <w:style w:type="paragraph" w:styleId="44">
    <w:name w:val="Quote"/>
    <w:basedOn w:val="1"/>
    <w:next w:val="1"/>
    <w:link w:val="45"/>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5">
    <w:name w:val="引用 字符"/>
    <w:basedOn w:val="28"/>
    <w:link w:val="44"/>
    <w:qFormat/>
    <w:uiPriority w:val="29"/>
    <w:rPr>
      <w:rFonts w:asciiTheme="majorHAnsi" w:hAnsiTheme="majorHAnsi" w:eastAsiaTheme="majorEastAsia" w:cstheme="majorBidi"/>
      <w:i/>
      <w:iCs/>
      <w:sz w:val="24"/>
      <w:szCs w:val="24"/>
    </w:rPr>
  </w:style>
  <w:style w:type="paragraph" w:styleId="46">
    <w:name w:val="Intense Quote"/>
    <w:basedOn w:val="1"/>
    <w:next w:val="1"/>
    <w:link w:val="47"/>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7">
    <w:name w:val="明显引用 字符"/>
    <w:basedOn w:val="28"/>
    <w:link w:val="46"/>
    <w:qFormat/>
    <w:uiPriority w:val="30"/>
    <w:rPr>
      <w:rFonts w:asciiTheme="majorHAnsi" w:hAnsiTheme="majorHAnsi" w:eastAsiaTheme="majorEastAsia" w:cstheme="majorBidi"/>
      <w:sz w:val="26"/>
      <w:szCs w:val="26"/>
    </w:rPr>
  </w:style>
  <w:style w:type="character" w:customStyle="1" w:styleId="48">
    <w:name w:val="不明显强调1"/>
    <w:basedOn w:val="28"/>
    <w:qFormat/>
    <w:uiPriority w:val="19"/>
    <w:rPr>
      <w:i/>
      <w:iCs/>
      <w:color w:val="auto"/>
    </w:rPr>
  </w:style>
  <w:style w:type="character" w:customStyle="1" w:styleId="49">
    <w:name w:val="明显强调1"/>
    <w:basedOn w:val="28"/>
    <w:qFormat/>
    <w:uiPriority w:val="21"/>
    <w:rPr>
      <w:b/>
      <w:bCs/>
      <w:i/>
      <w:iCs/>
      <w:color w:val="auto"/>
    </w:rPr>
  </w:style>
  <w:style w:type="character" w:customStyle="1" w:styleId="50">
    <w:name w:val="不明显参考1"/>
    <w:basedOn w:val="28"/>
    <w:qFormat/>
    <w:uiPriority w:val="31"/>
    <w:rPr>
      <w:smallCaps/>
      <w:color w:val="auto"/>
      <w:u w:val="single" w:color="7E7E7E" w:themeColor="text1" w:themeTint="80"/>
    </w:rPr>
  </w:style>
  <w:style w:type="character" w:customStyle="1" w:styleId="51">
    <w:name w:val="明显参考1"/>
    <w:basedOn w:val="28"/>
    <w:qFormat/>
    <w:uiPriority w:val="32"/>
    <w:rPr>
      <w:b/>
      <w:bCs/>
      <w:smallCaps/>
      <w:color w:val="auto"/>
      <w:u w:val="single"/>
    </w:rPr>
  </w:style>
  <w:style w:type="character" w:customStyle="1" w:styleId="52">
    <w:name w:val="书籍标题1"/>
    <w:basedOn w:val="28"/>
    <w:qFormat/>
    <w:uiPriority w:val="33"/>
    <w:rPr>
      <w:b/>
      <w:bCs/>
      <w:smallCaps/>
      <w:color w:val="auto"/>
    </w:rPr>
  </w:style>
  <w:style w:type="paragraph" w:customStyle="1" w:styleId="53">
    <w:name w:val="TOC 标题1"/>
    <w:basedOn w:val="5"/>
    <w:next w:val="1"/>
    <w:unhideWhenUsed/>
    <w:qFormat/>
    <w:uiPriority w:val="39"/>
    <w:pPr>
      <w:outlineLvl w:val="9"/>
    </w:pPr>
  </w:style>
  <w:style w:type="character" w:customStyle="1" w:styleId="54">
    <w:name w:val="无间隔 字符"/>
    <w:basedOn w:val="28"/>
    <w:link w:val="43"/>
    <w:qFormat/>
    <w:uiPriority w:val="1"/>
  </w:style>
  <w:style w:type="paragraph" w:customStyle="1" w:styleId="5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56">
    <w:name w:val="页眉 字符"/>
    <w:basedOn w:val="28"/>
    <w:link w:val="21"/>
    <w:qFormat/>
    <w:uiPriority w:val="99"/>
    <w:rPr>
      <w:sz w:val="18"/>
      <w:szCs w:val="18"/>
    </w:rPr>
  </w:style>
  <w:style w:type="character" w:customStyle="1" w:styleId="57">
    <w:name w:val="页脚 字符"/>
    <w:basedOn w:val="28"/>
    <w:link w:val="20"/>
    <w:qFormat/>
    <w:uiPriority w:val="99"/>
    <w:rPr>
      <w:sz w:val="18"/>
      <w:szCs w:val="18"/>
    </w:rPr>
  </w:style>
  <w:style w:type="paragraph" w:styleId="58">
    <w:name w:val="List Paragraph"/>
    <w:basedOn w:val="1"/>
    <w:qFormat/>
    <w:uiPriority w:val="34"/>
    <w:pPr>
      <w:ind w:firstLine="420" w:firstLineChars="200"/>
    </w:pPr>
  </w:style>
  <w:style w:type="character" w:customStyle="1" w:styleId="59">
    <w:name w:val="正文文本缩进 3 字符"/>
    <w:basedOn w:val="28"/>
    <w:link w:val="24"/>
    <w:qFormat/>
    <w:uiPriority w:val="0"/>
    <w:rPr>
      <w:rFonts w:ascii="Times New Roman" w:hAnsi="Times New Roman" w:eastAsia="宋体" w:cs="Times New Roman"/>
      <w:kern w:val="2"/>
      <w:sz w:val="16"/>
      <w:szCs w:val="16"/>
    </w:rPr>
  </w:style>
  <w:style w:type="paragraph" w:customStyle="1" w:styleId="60">
    <w:name w:val="样式3"/>
    <w:basedOn w:val="17"/>
    <w:qFormat/>
    <w:uiPriority w:val="0"/>
    <w:pPr>
      <w:widowControl w:val="0"/>
      <w:spacing w:after="0" w:line="0" w:lineRule="atLeast"/>
      <w:outlineLvl w:val="0"/>
    </w:pPr>
    <w:rPr>
      <w:rFonts w:ascii="宋体" w:eastAsia="宋体" w:cs="Times New Roman"/>
      <w:kern w:val="2"/>
      <w:sz w:val="28"/>
      <w:szCs w:val="20"/>
    </w:rPr>
  </w:style>
  <w:style w:type="character" w:customStyle="1" w:styleId="61">
    <w:name w:val="纯文本 字符"/>
    <w:basedOn w:val="28"/>
    <w:link w:val="17"/>
    <w:semiHidden/>
    <w:qFormat/>
    <w:uiPriority w:val="99"/>
    <w:rPr>
      <w:rFonts w:hAnsi="Courier New" w:cs="Courier New" w:asciiTheme="minorEastAsia"/>
    </w:rPr>
  </w:style>
  <w:style w:type="character" w:customStyle="1" w:styleId="62">
    <w:name w:val="正文文本 字符"/>
    <w:basedOn w:val="28"/>
    <w:link w:val="3"/>
    <w:semiHidden/>
    <w:qFormat/>
    <w:uiPriority w:val="99"/>
  </w:style>
  <w:style w:type="character" w:customStyle="1" w:styleId="63">
    <w:name w:val="纯文本 Char"/>
    <w:qFormat/>
    <w:uiPriority w:val="0"/>
    <w:rPr>
      <w:rFonts w:ascii="宋体" w:hAnsi="Courier New" w:eastAsia="宋体"/>
      <w:kern w:val="2"/>
      <w:sz w:val="21"/>
      <w:lang w:val="en-US" w:eastAsia="zh-CN" w:bidi="ar-SA"/>
    </w:rPr>
  </w:style>
  <w:style w:type="character" w:customStyle="1" w:styleId="64">
    <w:name w:val="日期 字符"/>
    <w:basedOn w:val="28"/>
    <w:link w:val="18"/>
    <w:semiHidden/>
    <w:qFormat/>
    <w:uiPriority w:val="99"/>
    <w:rPr>
      <w:rFonts w:asciiTheme="minorHAnsi" w:hAnsiTheme="minorHAnsi" w:eastAsiaTheme="minorEastAsia" w:cstheme="minorBidi"/>
      <w:sz w:val="22"/>
      <w:szCs w:val="22"/>
    </w:rPr>
  </w:style>
  <w:style w:type="character" w:customStyle="1" w:styleId="65">
    <w:name w:val="批注框文本 字符"/>
    <w:basedOn w:val="28"/>
    <w:link w:val="19"/>
    <w:semiHidden/>
    <w:qFormat/>
    <w:uiPriority w:val="99"/>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jpeg"/><Relationship Id="rId12" Type="http://schemas.openxmlformats.org/officeDocument/2006/relationships/theme" Target="theme/theme1.xml"/><Relationship Id="rId11" Type="http://schemas.openxmlformats.org/officeDocument/2006/relationships/footer" Target="footer1.xml"/><Relationship Id="rId10" Type="http://schemas.openxmlformats.org/officeDocument/2006/relationships/header" Target="head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EE65F-056C-4E2B-AF1B-C7094671E4A7}">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846</Words>
  <Characters>4828</Characters>
  <Lines>40</Lines>
  <Paragraphs>11</Paragraphs>
  <TotalTime>49</TotalTime>
  <ScaleCrop>false</ScaleCrop>
  <LinksUpToDate>false</LinksUpToDate>
  <CharactersWithSpaces>5663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2023-06-18T14:58:00Z</dcterms:created>
  <dc:creator>树亮 门</dc:creator>
  <cp:lastModifiedBy>Administrator</cp:lastModifiedBy>
  <dcterms:modified xsi:type="dcterms:W3CDTF">2023-10-08T12:11:16Z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