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1000" w:lineRule="exact"/>
        <w:jc w:val="center"/>
        <w:rPr>
          <w:rFonts w:hint="eastAsia" w:ascii="仿宋" w:hAnsi="仿宋" w:eastAsia="仿宋"/>
          <w:b/>
          <w:color w:val="000000" w:themeColor="text1"/>
          <w:sz w:val="44"/>
          <w:szCs w:val="44"/>
          <w:lang w:eastAsia="zh-CN"/>
          <w14:textFill>
            <w14:solidFill>
              <w14:schemeClr w14:val="tx1"/>
            </w14:solidFill>
          </w14:textFill>
        </w:rPr>
      </w:pPr>
      <w:bookmarkStart w:id="0" w:name="_Hlk38472698"/>
      <w:bookmarkStart w:id="1" w:name="_Toc225669277"/>
      <w:bookmarkStart w:id="2" w:name="_Toc219800200"/>
      <w:bookmarkStart w:id="3" w:name="_Toc267060407"/>
      <w:bookmarkStart w:id="4" w:name="_Toc169332904"/>
      <w:bookmarkStart w:id="5" w:name="_Toc258401210"/>
      <w:bookmarkStart w:id="6" w:name="_Toc217891359"/>
      <w:bookmarkStart w:id="7" w:name="_Toc169332794"/>
      <w:bookmarkStart w:id="8" w:name="_Toc259520819"/>
      <w:bookmarkStart w:id="9" w:name="_Toc207014580"/>
      <w:bookmarkStart w:id="10" w:name="_Toc212454753"/>
      <w:bookmarkStart w:id="11" w:name="_Toc211937196"/>
      <w:bookmarkStart w:id="12" w:name="_Toc227058483"/>
      <w:bookmarkStart w:id="13" w:name="_Toc235437942"/>
      <w:bookmarkStart w:id="14" w:name="_Toc212526081"/>
      <w:bookmarkStart w:id="15" w:name="_Toc160880487"/>
      <w:bookmarkStart w:id="16" w:name="_Toc259692693"/>
      <w:bookmarkStart w:id="17" w:name="_Toc254790852"/>
      <w:bookmarkStart w:id="18" w:name="_Toc170798743"/>
      <w:bookmarkStart w:id="19" w:name="_Toc266868924"/>
      <w:bookmarkStart w:id="20" w:name="_Toc212530253"/>
      <w:bookmarkStart w:id="21" w:name="_Toc212456146"/>
      <w:bookmarkStart w:id="22" w:name="_Toc235438227"/>
      <w:bookmarkStart w:id="23" w:name="_Toc249325665"/>
      <w:bookmarkStart w:id="24" w:name="_Toc255974963"/>
      <w:bookmarkStart w:id="25" w:name="_Toc236021402"/>
      <w:bookmarkStart w:id="26" w:name="_Toc251586187"/>
      <w:bookmarkStart w:id="27" w:name="_Toc223146565"/>
      <w:bookmarkStart w:id="28" w:name="_Toc177985424"/>
      <w:bookmarkStart w:id="29" w:name="_Toc259692600"/>
      <w:bookmarkStart w:id="30" w:name="_Toc216241307"/>
      <w:bookmarkStart w:id="31" w:name="_Toc235438297"/>
      <w:bookmarkStart w:id="32" w:name="_Toc266868624"/>
      <w:bookmarkStart w:id="33" w:name="_Toc267060022"/>
      <w:bookmarkStart w:id="34" w:name="_Toc267059633"/>
      <w:bookmarkStart w:id="35" w:name="_Toc267060162"/>
      <w:bookmarkStart w:id="36" w:name="_Toc267059899"/>
      <w:bookmarkStart w:id="37" w:name="_Toc267059519"/>
      <w:bookmarkStart w:id="38" w:name="_Toc253066567"/>
      <w:bookmarkStart w:id="39" w:name="_Toc266870861"/>
      <w:bookmarkStart w:id="40" w:name="_Toc267059161"/>
      <w:bookmarkStart w:id="41" w:name="_Toc267059010"/>
      <w:bookmarkStart w:id="42" w:name="_Toc273178686"/>
      <w:bookmarkStart w:id="43" w:name="_Toc267059786"/>
      <w:bookmarkStart w:id="44" w:name="_Toc251613780"/>
      <w:bookmarkStart w:id="45" w:name="_Toc266870386"/>
      <w:r>
        <w:rPr>
          <w:rFonts w:ascii="仿宋" w:hAnsi="仿宋" w:eastAsia="仿宋"/>
          <w:b/>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Pr>
          <w:rFonts w:hint="eastAsia" w:ascii="仿宋" w:hAnsi="仿宋" w:eastAsia="仿宋"/>
          <w:b/>
          <w:color w:val="000000" w:themeColor="text1"/>
          <w:sz w:val="44"/>
          <w:szCs w:val="44"/>
          <w14:textFill>
            <w14:solidFill>
              <w14:schemeClr w14:val="tx1"/>
            </w14:solidFill>
          </w14:textFill>
        </w:rPr>
        <w:t>重庆外语外事学院</w:t>
      </w:r>
      <w:r>
        <w:rPr>
          <w:rFonts w:hint="eastAsia" w:ascii="仿宋" w:hAnsi="仿宋" w:eastAsia="仿宋"/>
          <w:b/>
          <w:color w:val="000000" w:themeColor="text1"/>
          <w:sz w:val="44"/>
          <w:szCs w:val="44"/>
          <w:lang w:eastAsia="zh-CN"/>
          <w14:textFill>
            <w14:solidFill>
              <w14:schemeClr w14:val="tx1"/>
            </w14:solidFill>
          </w14:textFill>
        </w:rPr>
        <w:t>2023-2024学年试卷印刷</w:t>
      </w:r>
    </w:p>
    <w:p>
      <w:pPr>
        <w:spacing w:after="0" w:line="240" w:lineRule="auto"/>
        <w:jc w:val="center"/>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服务项目</w:t>
      </w:r>
      <w:bookmarkEnd w:id="46"/>
    </w:p>
    <w:bookmarkEnd w:id="0"/>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1687" w:firstLineChars="600"/>
        <w:rPr>
          <w:rFonts w:hint="eastAsia" w:ascii="仿宋" w:hAnsi="仿宋" w:eastAsia="仿宋"/>
          <w:b/>
          <w:color w:val="000000" w:themeColor="text1"/>
          <w:sz w:val="28"/>
          <w:szCs w:val="36"/>
          <w:lang w:eastAsia="zh-CN"/>
          <w14:textFill>
            <w14:solidFill>
              <w14:schemeClr w14:val="tx1"/>
            </w14:solidFill>
          </w14:textFill>
        </w:rPr>
      </w:pPr>
      <w:r>
        <w:rPr>
          <w:rFonts w:hint="eastAsia" w:ascii="仿宋" w:hAnsi="仿宋" w:eastAsia="仿宋"/>
          <w:b/>
          <w:color w:val="000000" w:themeColor="text1"/>
          <w:sz w:val="28"/>
          <w:szCs w:val="36"/>
          <w14:textFill>
            <w14:solidFill>
              <w14:schemeClr w14:val="tx1"/>
            </w14:solidFill>
          </w14:textFill>
        </w:rPr>
        <w:t>项目编号：</w:t>
      </w:r>
      <w:bookmarkStart w:id="47" w:name="_Toc160880485"/>
      <w:bookmarkStart w:id="48" w:name="_Toc169332792"/>
      <w:bookmarkStart w:id="49" w:name="_Toc160880118"/>
      <w:r>
        <w:rPr>
          <w:rFonts w:hint="eastAsia" w:ascii="仿宋" w:hAnsi="仿宋" w:eastAsia="仿宋"/>
          <w:b/>
          <w:color w:val="000000" w:themeColor="text1"/>
          <w:sz w:val="28"/>
          <w:szCs w:val="36"/>
          <w:lang w:eastAsia="zh-CN"/>
          <w14:textFill>
            <w14:solidFill>
              <w14:schemeClr w14:val="tx1"/>
            </w14:solidFill>
          </w14:textFill>
        </w:rPr>
        <w:t>IFS-2023071</w:t>
      </w:r>
    </w:p>
    <w:p>
      <w:pPr>
        <w:spacing w:line="500" w:lineRule="exact"/>
        <w:ind w:firstLine="1687" w:firstLineChars="600"/>
        <w:rPr>
          <w:rFonts w:ascii="仿宋" w:hAnsi="仿宋" w:eastAsia="仿宋"/>
          <w:b/>
          <w:color w:val="000000" w:themeColor="text1"/>
          <w:sz w:val="28"/>
          <w:szCs w:val="36"/>
          <w14:textFill>
            <w14:solidFill>
              <w14:schemeClr w14:val="tx1"/>
            </w14:solidFill>
          </w14:textFill>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r>
        <w:rPr>
          <w:rFonts w:hint="eastAsia" w:ascii="仿宋" w:hAnsi="仿宋" w:eastAsia="仿宋"/>
          <w:b/>
          <w:color w:val="000000" w:themeColor="text1"/>
          <w:sz w:val="28"/>
          <w:szCs w:val="36"/>
          <w14:textFill>
            <w14:solidFill>
              <w14:schemeClr w14:val="tx1"/>
            </w14:solidFill>
          </w14:textFill>
        </w:rPr>
        <w:t>项目名称</w:t>
      </w:r>
      <w:bookmarkEnd w:id="47"/>
      <w:bookmarkEnd w:id="48"/>
      <w:bookmarkEnd w:id="49"/>
      <w:r>
        <w:rPr>
          <w:rFonts w:hint="eastAsia" w:ascii="仿宋" w:hAnsi="仿宋" w:eastAsia="仿宋"/>
          <w:b/>
          <w:color w:val="000000" w:themeColor="text1"/>
          <w:sz w:val="28"/>
          <w:szCs w:val="36"/>
          <w14:textFill>
            <w14:solidFill>
              <w14:schemeClr w14:val="tx1"/>
            </w14:solidFill>
          </w14:textFill>
        </w:rPr>
        <w:t>：</w:t>
      </w:r>
      <w:r>
        <w:rPr>
          <w:rFonts w:hint="eastAsia" w:ascii="仿宋" w:hAnsi="仿宋" w:eastAsia="仿宋"/>
          <w:b/>
          <w:color w:val="000000" w:themeColor="text1"/>
          <w:sz w:val="28"/>
          <w:szCs w:val="36"/>
          <w:lang w:eastAsia="zh-CN"/>
          <w14:textFill>
            <w14:solidFill>
              <w14:schemeClr w14:val="tx1"/>
            </w14:solidFill>
          </w14:textFill>
        </w:rPr>
        <w:t>2023-2024学年试卷印刷</w:t>
      </w:r>
      <w:r>
        <w:rPr>
          <w:rFonts w:hint="eastAsia" w:ascii="仿宋" w:hAnsi="仿宋" w:eastAsia="仿宋"/>
          <w:b/>
          <w:color w:val="000000" w:themeColor="text1"/>
          <w:sz w:val="28"/>
          <w:szCs w:val="36"/>
          <w14:textFill>
            <w14:solidFill>
              <w14:schemeClr w14:val="tx1"/>
            </w14:solidFill>
          </w14:textFill>
        </w:rPr>
        <w:t>服务项目</w:t>
      </w:r>
    </w:p>
    <w:p>
      <w:pPr>
        <w:pStyle w:val="53"/>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hint="eastAsia" w:ascii="仿宋" w:hAnsi="仿宋" w:eastAsia="仿宋"/>
          <w:b/>
          <w:color w:val="000000" w:themeColor="text1"/>
          <w:sz w:val="44"/>
          <w:szCs w:val="44"/>
          <w14:textFill>
            <w14:solidFill>
              <w14:schemeClr w14:val="tx1"/>
            </w14:solidFill>
          </w14:textFill>
        </w:rPr>
        <w:t>函</w:t>
      </w:r>
    </w:p>
    <w:p>
      <w:pPr>
        <w:spacing w:after="0" w:line="500" w:lineRule="exact"/>
        <w:ind w:firstLine="604" w:firstLineChars="252"/>
        <w:jc w:val="left"/>
        <w:rPr>
          <w:rFonts w:ascii="仿宋" w:hAnsi="仿宋" w:eastAsia="仿宋"/>
          <w:color w:val="000000" w:themeColor="text1"/>
          <w:sz w:val="24"/>
          <w:szCs w:val="24"/>
          <w14:textFill>
            <w14:solidFill>
              <w14:schemeClr w14:val="tx1"/>
            </w14:solidFill>
          </w14:textFill>
        </w:rPr>
      </w:pPr>
      <w:bookmarkStart w:id="50" w:name="_Hlk10840310"/>
      <w:r>
        <w:rPr>
          <w:rFonts w:hint="eastAsia" w:ascii="仿宋" w:hAnsi="仿宋" w:eastAsia="仿宋"/>
          <w:color w:val="000000" w:themeColor="text1"/>
          <w:sz w:val="24"/>
          <w:szCs w:val="24"/>
          <w14:textFill>
            <w14:solidFill>
              <w14:schemeClr w14:val="tx1"/>
            </w14:solidFill>
          </w14:textFill>
        </w:rPr>
        <w:t>重庆外语外事学院始建于2001年，是纳入国家普通高等教育招生计划、具有学士学位授予权的全日制普通本科高等学校。学校占地面积1572亩，学生规模约</w:t>
      </w:r>
      <w:r>
        <w:rPr>
          <w:rFonts w:hint="eastAsia" w:ascii="仿宋" w:hAnsi="仿宋" w:eastAsia="仿宋"/>
          <w:color w:val="000000" w:themeColor="text1"/>
          <w:sz w:val="24"/>
          <w:szCs w:val="24"/>
          <w:lang w:val="en-US" w:eastAsia="zh-CN"/>
          <w14:textFill>
            <w14:solidFill>
              <w14:schemeClr w14:val="tx1"/>
            </w14:solidFill>
          </w14:textFill>
        </w:rPr>
        <w:t>2.1</w:t>
      </w:r>
      <w:r>
        <w:rPr>
          <w:rFonts w:hint="eastAsia" w:ascii="仿宋" w:hAnsi="仿宋" w:eastAsia="仿宋"/>
          <w:color w:val="000000" w:themeColor="text1"/>
          <w:sz w:val="24"/>
          <w:szCs w:val="24"/>
          <w14:textFill>
            <w14:solidFill>
              <w14:schemeClr w14:val="tx1"/>
            </w14:solidFill>
          </w14:textFill>
        </w:rPr>
        <w:t>万人。根据需要，对我校202</w:t>
      </w:r>
      <w:r>
        <w:rPr>
          <w:rFonts w:hint="eastAsia" w:ascii="仿宋" w:hAnsi="仿宋" w:eastAsia="仿宋"/>
          <w:color w:val="000000" w:themeColor="text1"/>
          <w:sz w:val="24"/>
          <w:szCs w:val="24"/>
          <w:lang w:val="en-US" w:eastAsia="zh-CN"/>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-202</w:t>
      </w:r>
      <w:r>
        <w:rPr>
          <w:rFonts w:hint="eastAsia" w:ascii="仿宋" w:hAnsi="仿宋" w:eastAsia="仿宋"/>
          <w:color w:val="000000" w:themeColor="text1"/>
          <w:sz w:val="24"/>
          <w:szCs w:val="24"/>
          <w:lang w:val="en-US" w:eastAsia="zh-CN"/>
          <w14:textFill>
            <w14:solidFill>
              <w14:schemeClr w14:val="tx1"/>
            </w14:solidFill>
          </w14:textFill>
        </w:rPr>
        <w:t>4</w:t>
      </w:r>
      <w:r>
        <w:rPr>
          <w:rFonts w:hint="eastAsia" w:ascii="仿宋" w:hAnsi="仿宋" w:eastAsia="仿宋"/>
          <w:color w:val="000000" w:themeColor="text1"/>
          <w:sz w:val="24"/>
          <w:szCs w:val="24"/>
          <w14:textFill>
            <w14:solidFill>
              <w14:schemeClr w14:val="tx1"/>
            </w14:solidFill>
          </w14:textFill>
        </w:rPr>
        <w:t>学年试卷印刷服务项目进行公开询价，欢迎国内合格参与人参与。</w:t>
      </w:r>
    </w:p>
    <w:p>
      <w:pPr>
        <w:spacing w:after="0" w:line="500" w:lineRule="exact"/>
        <w:ind w:firstLine="364" w:firstLineChars="152"/>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一、项目说明</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w:t>
      </w:r>
      <w:r>
        <w:rPr>
          <w:rFonts w:hint="eastAsia" w:ascii="仿宋" w:hAnsi="仿宋" w:eastAsia="仿宋"/>
          <w:color w:val="000000" w:themeColor="text1"/>
          <w:sz w:val="24"/>
          <w:szCs w:val="24"/>
          <w:lang w:eastAsia="zh-CN"/>
          <w14:textFill>
            <w14:solidFill>
              <w14:schemeClr w14:val="tx1"/>
            </w14:solidFill>
          </w14:textFill>
        </w:rPr>
        <w:t>IFS-2023071</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项目名称：</w:t>
      </w:r>
      <w:r>
        <w:rPr>
          <w:rFonts w:hint="eastAsia" w:ascii="仿宋" w:hAnsi="仿宋" w:eastAsia="仿宋"/>
          <w:color w:val="000000" w:themeColor="text1"/>
          <w:sz w:val="24"/>
          <w:szCs w:val="24"/>
          <w:lang w:eastAsia="zh-CN"/>
          <w14:textFill>
            <w14:solidFill>
              <w14:schemeClr w14:val="tx1"/>
            </w14:solidFill>
          </w14:textFill>
        </w:rPr>
        <w:t>2023-2024学年试卷印刷</w:t>
      </w:r>
      <w:r>
        <w:rPr>
          <w:rFonts w:hint="eastAsia" w:ascii="仿宋" w:hAnsi="仿宋" w:eastAsia="仿宋"/>
          <w:color w:val="000000" w:themeColor="text1"/>
          <w:sz w:val="24"/>
          <w:szCs w:val="24"/>
          <w14:textFill>
            <w14:solidFill>
              <w14:schemeClr w14:val="tx1"/>
            </w14:solidFill>
          </w14:textFill>
        </w:rPr>
        <w:t>服务项目</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数量及主要技术要求:详见《公开询价货物一览表》。</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参与人资格标准：</w:t>
      </w:r>
    </w:p>
    <w:p>
      <w:pPr>
        <w:pStyle w:val="56"/>
        <w:widowControl w:val="0"/>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参与人应具有独立法人资格的生产厂商或授权经销商，具有国家印刷行业许可证的大型印刷制造商，印刷设备先进，信誉度高，注册资金在100万元以上。</w:t>
      </w:r>
    </w:p>
    <w:p>
      <w:pPr>
        <w:pStyle w:val="56"/>
        <w:widowControl w:val="0"/>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参与人应具有合法有效的营业执照，经营范围应包括文件、资料或试卷等相关印刷资质。</w:t>
      </w:r>
    </w:p>
    <w:p>
      <w:pPr>
        <w:pStyle w:val="56"/>
        <w:widowControl w:val="0"/>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参与人成立满3年以上，</w:t>
      </w:r>
      <w:r>
        <w:rPr>
          <w:rFonts w:hint="eastAsia" w:ascii="仿宋" w:hAnsi="仿宋" w:eastAsia="仿宋"/>
          <w:color w:val="000000" w:themeColor="text1"/>
          <w:sz w:val="24"/>
          <w:szCs w:val="24"/>
          <w:lang w:val="en-US" w:eastAsia="zh-CN"/>
          <w14:textFill>
            <w14:solidFill>
              <w14:schemeClr w14:val="tx1"/>
            </w14:solidFill>
          </w14:textFill>
        </w:rPr>
        <w:t>自2020年起具有</w:t>
      </w:r>
      <w:r>
        <w:rPr>
          <w:rFonts w:hint="eastAsia" w:ascii="仿宋" w:hAnsi="仿宋" w:eastAsia="仿宋"/>
          <w:color w:val="000000" w:themeColor="text1"/>
          <w:sz w:val="24"/>
          <w:szCs w:val="24"/>
          <w14:textFill>
            <w14:solidFill>
              <w14:schemeClr w14:val="tx1"/>
            </w14:solidFill>
          </w14:textFill>
        </w:rPr>
        <w:t>3个（含3个）及以上同类项目销售和良好的售后服务应用成功案例（合同、发票复印件）,近三年未发生重大安全或质量事故，近五年内无被拉黑名单记录、无行政处罚记录，无被执行人、历史被执行人和失信被执行人记录。</w:t>
      </w:r>
    </w:p>
    <w:p>
      <w:pPr>
        <w:pStyle w:val="56"/>
        <w:widowControl w:val="0"/>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参与人应遵守中国的有关法律、法规和规章的规定。</w:t>
      </w:r>
    </w:p>
    <w:p>
      <w:pPr>
        <w:pStyle w:val="56"/>
        <w:widowControl w:val="0"/>
        <w:numPr>
          <w:ilvl w:val="0"/>
          <w:numId w:val="2"/>
        </w:numPr>
        <w:tabs>
          <w:tab w:val="left" w:pos="839"/>
        </w:tabs>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参与人须有良好的商业信誉和健全的财务制度，有依法缴纳税金的良好记录。</w:t>
      </w:r>
    </w:p>
    <w:p>
      <w:pPr>
        <w:pStyle w:val="56"/>
        <w:numPr>
          <w:ilvl w:val="0"/>
          <w:numId w:val="2"/>
        </w:numPr>
        <w:spacing w:after="0" w:line="500" w:lineRule="exact"/>
        <w:ind w:left="1200" w:leftChars="0" w:hanging="720" w:firstLineChars="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本项目不接受联合体参与</w:t>
      </w:r>
      <w:r>
        <w:rPr>
          <w:rFonts w:hint="eastAsia" w:ascii="仿宋" w:hAnsi="仿宋" w:eastAsia="仿宋"/>
          <w:color w:val="000000" w:themeColor="text1"/>
          <w:sz w:val="24"/>
          <w:szCs w:val="24"/>
          <w:lang w:eastAsia="zh-CN"/>
          <w14:textFill>
            <w14:solidFill>
              <w14:schemeClr w14:val="tx1"/>
            </w14:solidFill>
          </w14:textFill>
        </w:rPr>
        <w:t>。</w:t>
      </w:r>
    </w:p>
    <w:p>
      <w:pPr>
        <w:widowControl w:val="0"/>
        <w:numPr>
          <w:ilvl w:val="1"/>
          <w:numId w:val="1"/>
        </w:numPr>
        <w:spacing w:after="0" w:line="500" w:lineRule="exact"/>
        <w:rPr>
          <w:rFonts w:ascii="仿宋" w:hAnsi="仿宋" w:eastAsia="仿宋"/>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报价响应文件递交方式：密封报价，按规定时间送达。</w:t>
      </w:r>
    </w:p>
    <w:p>
      <w:pPr>
        <w:widowControl w:val="0"/>
        <w:numPr>
          <w:ilvl w:val="1"/>
          <w:numId w:val="1"/>
        </w:numPr>
        <w:spacing w:after="0" w:line="500" w:lineRule="exact"/>
        <w:rPr>
          <w:rFonts w:ascii="仿宋" w:hAnsi="仿宋" w:eastAsia="仿宋"/>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报价响应文件递交截止时间</w:t>
      </w:r>
      <w:r>
        <w:rPr>
          <w:rFonts w:hint="eastAsia" w:ascii="仿宋" w:hAnsi="仿宋" w:eastAsia="仿宋"/>
          <w:color w:val="000000" w:themeColor="text1"/>
          <w:sz w:val="24"/>
          <w:szCs w:val="24"/>
          <w:shd w:val="clear" w:color="auto" w:fill="FFFFFF"/>
          <w14:textFill>
            <w14:solidFill>
              <w14:schemeClr w14:val="tx1"/>
            </w14:solidFill>
          </w14:textFill>
        </w:rPr>
        <w:t>：</w:t>
      </w:r>
      <w:r>
        <w:rPr>
          <w:rFonts w:ascii="仿宋" w:hAnsi="仿宋" w:eastAsia="仿宋"/>
          <w:color w:val="000000" w:themeColor="text1"/>
          <w:sz w:val="24"/>
          <w:szCs w:val="24"/>
          <w:shd w:val="clear" w:color="auto" w:fill="FFFFFF"/>
          <w14:textFill>
            <w14:solidFill>
              <w14:schemeClr w14:val="tx1"/>
            </w14:solidFill>
          </w14:textFill>
        </w:rPr>
        <w:t>202</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3</w:t>
      </w:r>
      <w:r>
        <w:rPr>
          <w:rFonts w:hint="eastAsia" w:ascii="仿宋" w:hAnsi="仿宋" w:eastAsia="仿宋"/>
          <w:color w:val="000000" w:themeColor="text1"/>
          <w:sz w:val="24"/>
          <w:szCs w:val="24"/>
          <w:shd w:val="clear" w:color="auto" w:fill="FFFFFF"/>
          <w14:textFill>
            <w14:solidFill>
              <w14:schemeClr w14:val="tx1"/>
            </w14:solidFill>
          </w14:textFill>
        </w:rPr>
        <w:t>年</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11</w:t>
      </w:r>
      <w:r>
        <w:rPr>
          <w:rFonts w:ascii="仿宋" w:hAnsi="仿宋" w:eastAsia="仿宋"/>
          <w:color w:val="000000" w:themeColor="text1"/>
          <w:sz w:val="24"/>
          <w:szCs w:val="24"/>
          <w:shd w:val="clear" w:color="auto" w:fill="FFFFFF"/>
          <w14:textFill>
            <w14:solidFill>
              <w14:schemeClr w14:val="tx1"/>
            </w14:solidFill>
          </w14:textFill>
        </w:rPr>
        <w:t>月</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17</w:t>
      </w:r>
      <w:r>
        <w:rPr>
          <w:rFonts w:ascii="仿宋" w:hAnsi="仿宋" w:eastAsia="仿宋"/>
          <w:color w:val="000000" w:themeColor="text1"/>
          <w:sz w:val="24"/>
          <w:szCs w:val="24"/>
          <w:shd w:val="clear" w:color="auto" w:fill="FFFFFF"/>
          <w14:textFill>
            <w14:solidFill>
              <w14:schemeClr w14:val="tx1"/>
            </w14:solidFill>
          </w14:textFill>
        </w:rPr>
        <w:t>日</w:t>
      </w:r>
      <w:r>
        <w:rPr>
          <w:rFonts w:hint="eastAsia" w:ascii="仿宋" w:hAnsi="仿宋" w:eastAsia="仿宋"/>
          <w:color w:val="000000" w:themeColor="text1"/>
          <w:sz w:val="24"/>
          <w:szCs w:val="24"/>
          <w:shd w:val="clear" w:color="auto" w:fill="FFFFFF"/>
          <w14:textFill>
            <w14:solidFill>
              <w14:schemeClr w14:val="tx1"/>
            </w14:solidFill>
          </w14:textFill>
        </w:rPr>
        <w:t>下午</w:t>
      </w:r>
      <w:r>
        <w:rPr>
          <w:rFonts w:ascii="仿宋" w:hAnsi="仿宋" w:eastAsia="仿宋"/>
          <w:color w:val="000000" w:themeColor="text1"/>
          <w:sz w:val="24"/>
          <w:szCs w:val="24"/>
          <w:shd w:val="clear" w:color="auto" w:fill="FFFFFF"/>
          <w14:textFill>
            <w14:solidFill>
              <w14:schemeClr w14:val="tx1"/>
            </w14:solidFill>
          </w14:textFill>
        </w:rPr>
        <w:t>16</w:t>
      </w:r>
      <w:r>
        <w:rPr>
          <w:rFonts w:hint="eastAsia" w:ascii="仿宋" w:hAnsi="仿宋" w:eastAsia="仿宋"/>
          <w:color w:val="000000" w:themeColor="text1"/>
          <w:sz w:val="24"/>
          <w:szCs w:val="24"/>
          <w:shd w:val="clear" w:color="auto" w:fill="FFFFFF"/>
          <w14:textFill>
            <w14:solidFill>
              <w14:schemeClr w14:val="tx1"/>
            </w14:solidFill>
          </w14:textFill>
        </w:rPr>
        <w:t>:</w:t>
      </w:r>
      <w:r>
        <w:rPr>
          <w:rFonts w:ascii="仿宋" w:hAnsi="仿宋" w:eastAsia="仿宋"/>
          <w:color w:val="000000" w:themeColor="text1"/>
          <w:sz w:val="24"/>
          <w:szCs w:val="24"/>
          <w:shd w:val="clear" w:color="auto" w:fill="FFFFFF"/>
          <w14:textFill>
            <w14:solidFill>
              <w14:schemeClr w14:val="tx1"/>
            </w14:solidFill>
          </w14:textFill>
        </w:rPr>
        <w:t>00</w:t>
      </w:r>
      <w:r>
        <w:rPr>
          <w:rFonts w:hint="eastAsia" w:ascii="仿宋" w:hAnsi="仿宋" w:eastAsia="仿宋"/>
          <w:color w:val="000000" w:themeColor="text1"/>
          <w:sz w:val="24"/>
          <w:szCs w:val="24"/>
          <w:shd w:val="clear" w:color="auto" w:fill="FFFFFF"/>
          <w14:textFill>
            <w14:solidFill>
              <w14:schemeClr w14:val="tx1"/>
            </w14:solidFill>
          </w14:textFill>
        </w:rPr>
        <w:t>前。</w:t>
      </w:r>
    </w:p>
    <w:p>
      <w:pPr>
        <w:pStyle w:val="56"/>
        <w:numPr>
          <w:ilvl w:val="1"/>
          <w:numId w:val="1"/>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报价响应文件递交地点：重庆市渝北区龙石路1</w:t>
      </w:r>
      <w:r>
        <w:rPr>
          <w:rFonts w:ascii="仿宋" w:hAnsi="仿宋" w:eastAsia="仿宋"/>
          <w:color w:val="000000" w:themeColor="text1"/>
          <w:sz w:val="24"/>
          <w:szCs w:val="24"/>
          <w14:textFill>
            <w14:solidFill>
              <w14:schemeClr w14:val="tx1"/>
            </w14:solidFill>
          </w14:textFill>
        </w:rPr>
        <w:t>8</w:t>
      </w:r>
      <w:r>
        <w:rPr>
          <w:rFonts w:hint="eastAsia" w:ascii="仿宋" w:hAnsi="仿宋" w:eastAsia="仿宋"/>
          <w:color w:val="000000" w:themeColor="text1"/>
          <w:sz w:val="24"/>
          <w:szCs w:val="24"/>
          <w14:textFill>
            <w14:solidFill>
              <w14:schemeClr w14:val="tx1"/>
            </w14:solidFill>
          </w14:textFill>
        </w:rPr>
        <w:t>号办公楼</w:t>
      </w:r>
      <w:r>
        <w:rPr>
          <w:rFonts w:hint="eastAsia" w:ascii="仿宋" w:hAnsi="仿宋" w:eastAsia="仿宋"/>
          <w:color w:val="000000" w:themeColor="text1"/>
          <w:sz w:val="24"/>
          <w:szCs w:val="24"/>
          <w:lang w:val="en-US" w:eastAsia="zh-CN"/>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楼</w:t>
      </w:r>
      <w:r>
        <w:rPr>
          <w:rFonts w:hint="eastAsia" w:ascii="仿宋" w:hAnsi="仿宋" w:eastAsia="仿宋"/>
          <w:color w:val="000000" w:themeColor="text1"/>
          <w:sz w:val="24"/>
          <w:szCs w:val="24"/>
          <w:lang w:val="en-US" w:eastAsia="zh-CN"/>
          <w14:textFill>
            <w14:solidFill>
              <w14:schemeClr w14:val="tx1"/>
            </w14:solidFill>
          </w14:textFill>
        </w:rPr>
        <w:t>203</w:t>
      </w:r>
      <w:r>
        <w:rPr>
          <w:rFonts w:hint="eastAsia" w:ascii="仿宋" w:hAnsi="仿宋" w:eastAsia="仿宋"/>
          <w:color w:val="000000" w:themeColor="text1"/>
          <w:sz w:val="24"/>
          <w:szCs w:val="24"/>
          <w14:textFill>
            <w14:solidFill>
              <w14:schemeClr w14:val="tx1"/>
            </w14:solidFill>
          </w14:textFill>
        </w:rPr>
        <w:t>室</w:t>
      </w:r>
    </w:p>
    <w:p>
      <w:pPr>
        <w:pStyle w:val="56"/>
        <w:spacing w:after="0" w:line="500" w:lineRule="exact"/>
        <w:ind w:left="839" w:firstLine="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联系人：</w:t>
      </w:r>
      <w:r>
        <w:rPr>
          <w:rFonts w:hint="eastAsia" w:ascii="仿宋" w:hAnsi="仿宋" w:eastAsia="仿宋"/>
          <w:color w:val="000000" w:themeColor="text1"/>
          <w:sz w:val="24"/>
          <w:szCs w:val="24"/>
          <w:lang w:val="en-US" w:eastAsia="zh-CN"/>
          <w14:textFill>
            <w14:solidFill>
              <w14:schemeClr w14:val="tx1"/>
            </w14:solidFill>
          </w14:textFill>
        </w:rPr>
        <w:t>蒲涛</w:t>
      </w:r>
      <w:r>
        <w:rPr>
          <w:rFonts w:hint="eastAsia" w:ascii="仿宋" w:hAnsi="仿宋" w:eastAsia="仿宋"/>
          <w:color w:val="000000" w:themeColor="text1"/>
          <w:sz w:val="24"/>
          <w:szCs w:val="24"/>
          <w14:textFill>
            <w14:solidFill>
              <w14:schemeClr w14:val="tx1"/>
            </w14:solidFill>
          </w14:textFill>
        </w:rPr>
        <w:t>；联系电话：</w:t>
      </w:r>
      <w:r>
        <w:rPr>
          <w:rFonts w:hint="eastAsia" w:ascii="仿宋" w:hAnsi="仿宋" w:eastAsia="仿宋"/>
          <w:color w:val="000000" w:themeColor="text1"/>
          <w:sz w:val="24"/>
          <w:szCs w:val="24"/>
          <w:lang w:val="en-US" w:eastAsia="zh-CN"/>
          <w14:textFill>
            <w14:solidFill>
              <w14:schemeClr w14:val="tx1"/>
            </w14:solidFill>
          </w14:textFill>
        </w:rPr>
        <w:t>13108925952</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本项目需参与人在递交响应文件同时提供所投产品样品，成交参与人样品视情况予以封存或退回。</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公开询价邀请函列示内容存有疑问的</w:t>
      </w:r>
      <w:r>
        <w:rPr>
          <w:rFonts w:hint="eastAsia" w:ascii="仿宋" w:hAnsi="仿宋" w:eastAsia="仿宋"/>
          <w:color w:val="000000" w:themeColor="text1"/>
          <w:sz w:val="24"/>
          <w:szCs w:val="24"/>
          <w14:textFill>
            <w14:solidFill>
              <w14:schemeClr w14:val="tx1"/>
            </w14:solidFill>
          </w14:textFill>
        </w:rPr>
        <w:t>，请在报价响应文件递交截止之日前，将问题以书面形式（有效签署的原件并加盖公章）提交至学校业务对接人，联系人：</w:t>
      </w:r>
      <w:r>
        <w:rPr>
          <w:rFonts w:hint="eastAsia" w:ascii="仿宋" w:hAnsi="仿宋" w:eastAsia="仿宋"/>
          <w:color w:val="000000" w:themeColor="text1"/>
          <w:sz w:val="24"/>
          <w:szCs w:val="24"/>
          <w:lang w:val="en-US" w:eastAsia="zh-CN"/>
          <w14:textFill>
            <w14:solidFill>
              <w14:schemeClr w14:val="tx1"/>
            </w14:solidFill>
          </w14:textFill>
        </w:rPr>
        <w:t>蒲涛</w:t>
      </w:r>
      <w:r>
        <w:rPr>
          <w:rFonts w:hint="eastAsia" w:ascii="仿宋" w:hAnsi="仿宋" w:eastAsia="仿宋"/>
          <w:color w:val="000000" w:themeColor="text1"/>
          <w:sz w:val="24"/>
          <w:szCs w:val="24"/>
          <w14:textFill>
            <w14:solidFill>
              <w14:schemeClr w14:val="tx1"/>
            </w14:solidFill>
          </w14:textFill>
        </w:rPr>
        <w:t>，电话：</w:t>
      </w:r>
      <w:r>
        <w:rPr>
          <w:rFonts w:hint="eastAsia" w:ascii="仿宋" w:hAnsi="仿宋" w:eastAsia="仿宋"/>
          <w:color w:val="000000" w:themeColor="text1"/>
          <w:sz w:val="24"/>
          <w:szCs w:val="24"/>
          <w:lang w:val="en-US" w:eastAsia="zh-CN"/>
          <w14:textFill>
            <w14:solidFill>
              <w14:schemeClr w14:val="tx1"/>
            </w14:solidFill>
          </w14:textFill>
        </w:rPr>
        <w:t>13108925952</w:t>
      </w:r>
      <w:r>
        <w:rPr>
          <w:rFonts w:hint="eastAsia" w:ascii="仿宋" w:hAnsi="仿宋" w:eastAsia="仿宋"/>
          <w:color w:val="000000" w:themeColor="text1"/>
          <w:sz w:val="24"/>
          <w:szCs w:val="24"/>
          <w14:textFill>
            <w14:solidFill>
              <w14:schemeClr w14:val="tx1"/>
            </w14:solidFill>
          </w14:textFill>
        </w:rPr>
        <w:t>。采购人不对超时提交及未加盖公章的质疑文件进行回复。</w:t>
      </w:r>
    </w:p>
    <w:p>
      <w:pPr>
        <w:widowControl w:val="0"/>
        <w:numPr>
          <w:ilvl w:val="1"/>
          <w:numId w:val="1"/>
        </w:numPr>
        <w:spacing w:after="0" w:line="460" w:lineRule="exact"/>
        <w:rPr>
          <w:rFonts w:ascii="仿宋" w:hAnsi="仿宋" w:eastAsia="仿宋"/>
          <w:color w:val="000000" w:themeColor="text1"/>
          <w:sz w:val="24"/>
          <w:szCs w:val="24"/>
          <w14:textFill>
            <w14:solidFill>
              <w14:schemeClr w14:val="tx1"/>
            </w14:solidFill>
          </w14:textFill>
        </w:rPr>
      </w:pPr>
      <w:bookmarkStart w:id="51" w:name="_Hlk97917519"/>
      <w:r>
        <w:rPr>
          <w:rFonts w:hint="eastAsia" w:ascii="仿宋" w:hAnsi="仿宋" w:eastAsia="仿宋"/>
          <w:color w:val="000000" w:themeColor="text1"/>
          <w:sz w:val="24"/>
          <w:szCs w:val="24"/>
          <w14:textFill>
            <w14:solidFill>
              <w14:schemeClr w14:val="tx1"/>
            </w14:solidFill>
          </w14:textFill>
        </w:rPr>
        <w:t>本项目最终成交结果会在中教集团后勤贤知平台“中标信息公示”板块公示，网址：</w:t>
      </w:r>
      <w:r>
        <w:fldChar w:fldCharType="begin"/>
      </w:r>
      <w:r>
        <w:instrText xml:space="preserve"> HYPERLINK "http://www.ceghqxz.com" </w:instrText>
      </w:r>
      <w:r>
        <w:fldChar w:fldCharType="separate"/>
      </w:r>
      <w:r>
        <w:rPr>
          <w:rStyle w:val="29"/>
          <w:rFonts w:hint="eastAsia" w:ascii="仿宋" w:hAnsi="仿宋" w:eastAsia="仿宋"/>
          <w:color w:val="000000" w:themeColor="text1"/>
          <w:sz w:val="24"/>
          <w:szCs w:val="24"/>
          <w14:textFill>
            <w14:solidFill>
              <w14:schemeClr w14:val="tx1"/>
            </w14:solidFill>
          </w14:textFill>
        </w:rPr>
        <w:t>www.ceghqxz.com</w:t>
      </w:r>
      <w:r>
        <w:rPr>
          <w:rStyle w:val="29"/>
          <w:rFonts w:hint="eastAsia" w:ascii="仿宋" w:hAnsi="仿宋" w:eastAsia="仿宋"/>
          <w:color w:val="000000" w:themeColor="text1"/>
          <w:sz w:val="24"/>
          <w:szCs w:val="24"/>
          <w14:textFill>
            <w14:solidFill>
              <w14:schemeClr w14:val="tx1"/>
            </w14:solidFill>
          </w14:textFill>
        </w:rPr>
        <w:fldChar w:fldCharType="end"/>
      </w: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采购过程和成交结果有异议的，</w:t>
      </w:r>
      <w:bookmarkEnd w:id="51"/>
      <w:r>
        <w:rPr>
          <w:rFonts w:hint="eastAsia" w:ascii="仿宋" w:hAnsi="仿宋" w:eastAsia="仿宋"/>
          <w:color w:val="000000" w:themeColor="text1"/>
          <w:sz w:val="24"/>
          <w:szCs w:val="24"/>
          <w14:textFill>
            <w14:solidFill>
              <w14:schemeClr w14:val="tx1"/>
            </w14:solidFill>
          </w14:textFill>
        </w:rPr>
        <w:t>请以书面形式（有效签署的原件并加盖公章），并附有相关的证据材料，提交至集团内控部。</w:t>
      </w:r>
    </w:p>
    <w:p>
      <w:pPr>
        <w:widowControl w:val="0"/>
        <w:tabs>
          <w:tab w:val="left" w:pos="839"/>
        </w:tabs>
        <w:spacing w:after="0" w:line="46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投诉受理部门：中教集团内控部，投诉电话： 0791-88106510 /0791-88102608</w:t>
      </w:r>
    </w:p>
    <w:p>
      <w:pPr>
        <w:widowControl w:val="0"/>
        <w:tabs>
          <w:tab w:val="left" w:pos="839"/>
        </w:tabs>
        <w:spacing w:after="0" w:line="460" w:lineRule="exact"/>
        <w:ind w:left="42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二、参与人须知</w:t>
      </w:r>
    </w:p>
    <w:p>
      <w:pPr>
        <w:widowControl w:val="0"/>
        <w:numPr>
          <w:ilvl w:val="1"/>
          <w:numId w:val="0"/>
        </w:numPr>
        <w:spacing w:after="0" w:line="500" w:lineRule="exact"/>
        <w:ind w:left="839" w:leftChars="0" w:hanging="419"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stheme="minorBidi"/>
          <w:b w:val="0"/>
          <w:color w:val="000000" w:themeColor="text1"/>
          <w:sz w:val="24"/>
          <w:szCs w:val="24"/>
          <w:lang w:val="en-US" w:eastAsia="zh-CN" w:bidi="ar-SA"/>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所有货物均以人民币报价；</w:t>
      </w:r>
    </w:p>
    <w:p>
      <w:pPr>
        <w:widowControl w:val="0"/>
        <w:numPr>
          <w:ilvl w:val="1"/>
          <w:numId w:val="0"/>
        </w:numPr>
        <w:spacing w:after="0" w:line="500" w:lineRule="exact"/>
        <w:ind w:left="839" w:leftChars="0" w:hanging="419"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stheme="minorBidi"/>
          <w:b w:val="0"/>
          <w:color w:val="000000" w:themeColor="text1"/>
          <w:sz w:val="24"/>
          <w:szCs w:val="24"/>
          <w:lang w:val="en-US" w:eastAsia="zh-CN" w:bidi="ar-SA"/>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报价响应文件</w:t>
      </w:r>
      <w:r>
        <w:rPr>
          <w:rFonts w:ascii="仿宋" w:hAnsi="仿宋" w:eastAsia="仿宋"/>
          <w:color w:val="000000" w:themeColor="text1"/>
          <w:sz w:val="24"/>
          <w:szCs w:val="24"/>
          <w14:textFill>
            <w14:solidFill>
              <w14:schemeClr w14:val="tx1"/>
            </w14:solidFill>
          </w14:textFill>
        </w:rPr>
        <w:t>必须用A4幅面纸张打印</w:t>
      </w:r>
      <w:r>
        <w:rPr>
          <w:rFonts w:hint="eastAsia" w:ascii="仿宋" w:hAnsi="仿宋" w:eastAsia="仿宋"/>
          <w:color w:val="000000" w:themeColor="text1"/>
          <w:sz w:val="24"/>
          <w:szCs w:val="24"/>
          <w14:textFill>
            <w14:solidFill>
              <w14:schemeClr w14:val="tx1"/>
            </w14:solidFill>
          </w14:textFill>
        </w:rPr>
        <w:t>，须由参与人填写并加盖公章；</w:t>
      </w:r>
    </w:p>
    <w:p>
      <w:pPr>
        <w:widowControl w:val="0"/>
        <w:numPr>
          <w:ilvl w:val="1"/>
          <w:numId w:val="0"/>
        </w:numPr>
        <w:spacing w:after="0" w:line="500" w:lineRule="exact"/>
        <w:ind w:left="839" w:leftChars="0" w:hanging="419"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stheme="minorBidi"/>
          <w:b w:val="0"/>
          <w:color w:val="000000" w:themeColor="text1"/>
          <w:sz w:val="24"/>
          <w:szCs w:val="24"/>
          <w:lang w:val="en-US" w:eastAsia="zh-CN" w:bidi="ar-SA"/>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报价响应文件用不退色墨水书写或打印，因字迹潦草或表达不清所引起的后果由参与人自负；</w:t>
      </w:r>
    </w:p>
    <w:p>
      <w:pPr>
        <w:widowControl w:val="0"/>
        <w:numPr>
          <w:ilvl w:val="1"/>
          <w:numId w:val="0"/>
        </w:numPr>
        <w:spacing w:after="0" w:line="500" w:lineRule="exact"/>
        <w:ind w:left="839" w:leftChars="0" w:hanging="419"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stheme="minorBidi"/>
          <w:b w:val="0"/>
          <w:color w:val="000000" w:themeColor="text1"/>
          <w:sz w:val="24"/>
          <w:szCs w:val="24"/>
          <w:lang w:val="en-US" w:eastAsia="zh-CN" w:bidi="ar-SA"/>
          <w14:textFill>
            <w14:solidFill>
              <w14:schemeClr w14:val="tx1"/>
            </w14:solidFill>
          </w14:textFill>
        </w:rPr>
        <w:t>4.</w:t>
      </w:r>
      <w:r>
        <w:rPr>
          <w:rFonts w:hint="eastAsia" w:ascii="仿宋" w:hAnsi="仿宋" w:eastAsia="仿宋"/>
          <w:color w:val="000000" w:themeColor="text1"/>
          <w:sz w:val="24"/>
          <w:szCs w:val="24"/>
          <w14:textFill>
            <w14:solidFill>
              <w14:schemeClr w14:val="tx1"/>
            </w14:solidFill>
          </w14:textFill>
        </w:rPr>
        <w:t>报价响应文件及所有相关资料需同时进行密封处理，并在密封处加盖公章，未做密封处理及未加盖公章的视为无效报价；</w:t>
      </w:r>
    </w:p>
    <w:p>
      <w:pPr>
        <w:widowControl w:val="0"/>
        <w:numPr>
          <w:ilvl w:val="1"/>
          <w:numId w:val="0"/>
        </w:numPr>
        <w:spacing w:after="0" w:line="500" w:lineRule="exact"/>
        <w:ind w:left="839" w:leftChars="0" w:hanging="419"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stheme="minorBidi"/>
          <w:b w:val="0"/>
          <w:color w:val="000000" w:themeColor="text1"/>
          <w:sz w:val="24"/>
          <w:szCs w:val="24"/>
          <w:lang w:val="en-US" w:eastAsia="zh-CN" w:bidi="ar-SA"/>
          <w14:textFill>
            <w14:solidFill>
              <w14:schemeClr w14:val="tx1"/>
            </w14:solidFill>
          </w14:textFill>
        </w:rPr>
        <w:t>5.</w:t>
      </w:r>
      <w:r>
        <w:rPr>
          <w:rFonts w:hint="eastAsia" w:ascii="仿宋" w:hAnsi="仿宋" w:eastAsia="仿宋"/>
          <w:color w:val="000000" w:themeColor="text1"/>
          <w:sz w:val="24"/>
          <w:szCs w:val="24"/>
          <w14:textFill>
            <w14:solidFill>
              <w14:schemeClr w14:val="tx1"/>
            </w14:solidFill>
          </w14:textFill>
        </w:rPr>
        <w:t>一个参与人只能提交一个报价响应文件，本项目不接受联合体报价。</w:t>
      </w:r>
    </w:p>
    <w:p>
      <w:pPr>
        <w:spacing w:after="0" w:line="500" w:lineRule="exact"/>
        <w:ind w:firstLine="364" w:firstLineChars="152"/>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三、售后服务要求</w:t>
      </w:r>
    </w:p>
    <w:p>
      <w:pPr>
        <w:pStyle w:val="56"/>
        <w:widowControl w:val="0"/>
        <w:numPr>
          <w:ilvl w:val="3"/>
          <w:numId w:val="3"/>
        </w:numPr>
        <w:spacing w:after="0" w:line="50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免费</w:t>
      </w:r>
      <w:r>
        <w:rPr>
          <w:rFonts w:hint="eastAsia" w:ascii="仿宋" w:hAnsi="仿宋" w:eastAsia="仿宋"/>
          <w:color w:val="000000" w:themeColor="text1"/>
          <w:sz w:val="24"/>
          <w:szCs w:val="24"/>
          <w:lang w:val="en-US" w:eastAsia="zh-CN"/>
          <w14:textFill>
            <w14:solidFill>
              <w14:schemeClr w14:val="tx1"/>
            </w14:solidFill>
          </w14:textFill>
        </w:rPr>
        <w:t>质保</w:t>
      </w:r>
      <w:r>
        <w:rPr>
          <w:rFonts w:hint="eastAsia" w:ascii="仿宋" w:hAnsi="仿宋" w:eastAsia="仿宋"/>
          <w:color w:val="000000" w:themeColor="text1"/>
          <w:sz w:val="24"/>
          <w:szCs w:val="24"/>
          <w14:textFill>
            <w14:solidFill>
              <w14:schemeClr w14:val="tx1"/>
            </w14:solidFill>
          </w14:textFill>
        </w:rPr>
        <w:t>期:</w:t>
      </w:r>
      <w:r>
        <w:rPr>
          <w:rFonts w:ascii="仿宋" w:hAnsi="仿宋" w:eastAsia="仿宋"/>
          <w:color w:val="000000" w:themeColor="text1"/>
          <w:sz w:val="24"/>
          <w:szCs w:val="24"/>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个月</w:t>
      </w:r>
    </w:p>
    <w:p>
      <w:pPr>
        <w:pStyle w:val="56"/>
        <w:widowControl w:val="0"/>
        <w:numPr>
          <w:ilvl w:val="0"/>
          <w:numId w:val="3"/>
        </w:numPr>
        <w:spacing w:after="0" w:line="500" w:lineRule="exact"/>
        <w:ind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应急维修时间、地点、联系电话及人员：</w:t>
      </w:r>
    </w:p>
    <w:p>
      <w:pPr>
        <w:pStyle w:val="56"/>
        <w:widowControl w:val="0"/>
        <w:numPr>
          <w:ilvl w:val="0"/>
          <w:numId w:val="3"/>
        </w:numPr>
        <w:spacing w:after="0" w:line="500" w:lineRule="exact"/>
        <w:ind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制造商的技术支持。</w:t>
      </w:r>
    </w:p>
    <w:p>
      <w:pPr>
        <w:spacing w:after="0" w:line="500" w:lineRule="exact"/>
        <w:ind w:firstLine="364" w:firstLineChars="152"/>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四、确定成交参与人标准及原则：</w:t>
      </w:r>
    </w:p>
    <w:p>
      <w:pPr>
        <w:pStyle w:val="56"/>
        <w:numPr>
          <w:ilvl w:val="0"/>
          <w:numId w:val="4"/>
        </w:numPr>
        <w:spacing w:after="0" w:line="50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本项目为自有资金而非财政性资金采购，采购人按企业内部规定的标准进行评定</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w:t>
      </w:r>
    </w:p>
    <w:p>
      <w:pPr>
        <w:pStyle w:val="56"/>
        <w:numPr>
          <w:ilvl w:val="0"/>
          <w:numId w:val="4"/>
        </w:numPr>
        <w:spacing w:after="0" w:line="50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参与人所投物品符合需求、质量和服务等的要求,经过磋商所报价格为合理价格的参与人为成交参与人。</w:t>
      </w:r>
    </w:p>
    <w:p>
      <w:pPr>
        <w:pStyle w:val="56"/>
        <w:numPr>
          <w:ilvl w:val="0"/>
          <w:numId w:val="4"/>
        </w:numPr>
        <w:spacing w:after="0" w:line="50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最低报价不作为成交的保证。</w:t>
      </w:r>
    </w:p>
    <w:p>
      <w:pPr>
        <w:spacing w:after="0" w:line="500" w:lineRule="exact"/>
        <w:ind w:firstLine="7377" w:firstLineChars="3074"/>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重庆外语外事学院</w:t>
      </w:r>
    </w:p>
    <w:p>
      <w:pPr>
        <w:pStyle w:val="56"/>
        <w:spacing w:after="0" w:line="500" w:lineRule="exact"/>
        <w:ind w:left="7371" w:firstLine="0" w:firstLineChars="0"/>
        <w:jc w:val="left"/>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202</w:t>
      </w:r>
      <w:r>
        <w:rPr>
          <w:rFonts w:hint="eastAsia" w:ascii="仿宋" w:hAnsi="仿宋" w:eastAsia="仿宋"/>
          <w:color w:val="000000" w:themeColor="text1"/>
          <w:sz w:val="24"/>
          <w:szCs w:val="24"/>
          <w:lang w:val="en-US" w:eastAsia="zh-CN"/>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年</w:t>
      </w: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lang w:val="en-US" w:eastAsia="zh-CN"/>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lang w:val="en-US" w:eastAsia="zh-CN"/>
          <w14:textFill>
            <w14:solidFill>
              <w14:schemeClr w14:val="tx1"/>
            </w14:solidFill>
          </w14:textFill>
        </w:rPr>
        <w:t>13</w:t>
      </w:r>
      <w:r>
        <w:rPr>
          <w:rFonts w:hint="eastAsia" w:ascii="仿宋" w:hAnsi="仿宋" w:eastAsia="仿宋"/>
          <w:color w:val="000000" w:themeColor="text1"/>
          <w:sz w:val="24"/>
          <w:szCs w:val="24"/>
          <w14:textFill>
            <w14:solidFill>
              <w14:schemeClr w14:val="tx1"/>
            </w14:solidFill>
          </w14:textFill>
        </w:rPr>
        <w:t>日</w:t>
      </w:r>
    </w:p>
    <w:p>
      <w:pPr>
        <w:spacing w:after="0" w:line="500" w:lineRule="exact"/>
        <w:jc w:val="center"/>
        <w:rPr>
          <w:rFonts w:ascii="仿宋" w:hAnsi="仿宋" w:eastAsia="仿宋"/>
          <w:b/>
          <w:color w:val="000000" w:themeColor="text1"/>
          <w:sz w:val="44"/>
          <w:szCs w:val="44"/>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r>
        <w:rPr>
          <w:rFonts w:hint="eastAsia" w:ascii="仿宋" w:hAnsi="仿宋" w:eastAsia="仿宋"/>
          <w:b/>
          <w:color w:val="000000" w:themeColor="text1"/>
          <w:sz w:val="44"/>
          <w:szCs w:val="44"/>
          <w14:textFill>
            <w14:solidFill>
              <w14:schemeClr w14:val="tx1"/>
            </w14:solidFill>
          </w14:textFill>
        </w:rPr>
        <w:t>二、公开询价项目介绍</w:t>
      </w:r>
      <w:bookmarkEnd w:id="50"/>
    </w:p>
    <w:p>
      <w:pPr>
        <w:spacing w:after="0" w:line="50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一、“试卷印刷”服务内容及要求见下表：</w:t>
      </w:r>
    </w:p>
    <w:tbl>
      <w:tblPr>
        <w:tblStyle w:val="62"/>
        <w:tblpPr w:leftFromText="180" w:rightFromText="180" w:vertAnchor="text" w:horzAnchor="margin" w:tblpX="392" w:tblpY="242"/>
        <w:tblW w:w="9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1328"/>
        <w:gridCol w:w="7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序号</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服务内容</w:t>
            </w:r>
          </w:p>
        </w:tc>
        <w:tc>
          <w:tcPr>
            <w:tcW w:w="7567" w:type="dxa"/>
            <w:vAlign w:val="center"/>
          </w:tcPr>
          <w:p>
            <w:pPr>
              <w:jc w:val="center"/>
              <w:rPr>
                <w:rFonts w:ascii="宋体" w:hAnsi="宋体" w:eastAsia="宋体"/>
                <w:b/>
                <w:kern w:val="2"/>
                <w:szCs w:val="21"/>
              </w:rPr>
            </w:pPr>
            <w:r>
              <w:rPr>
                <w:rFonts w:hint="eastAsia" w:ascii="仿宋" w:hAnsi="仿宋" w:eastAsia="仿宋"/>
                <w:b/>
                <w:color w:val="000000" w:themeColor="text1"/>
                <w:kern w:val="2"/>
                <w:sz w:val="21"/>
                <w:szCs w:val="21"/>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1</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试卷袋印制</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试卷袋须使用150克木桨牛皮纸制作，方底方墙，成品尺寸：335mm*265mm，墙50mm，搭口长95mm；</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按要求数量、样式、大小印制；</w:t>
            </w:r>
          </w:p>
          <w:p>
            <w:pPr>
              <w:widowControl/>
              <w:spacing w:after="0" w:line="240" w:lineRule="auto"/>
              <w:jc w:val="left"/>
              <w:rPr>
                <w:rFonts w:hint="default" w:ascii="仿宋" w:hAnsi="仿宋" w:eastAsia="仿宋"/>
                <w:color w:val="000000" w:themeColor="text1"/>
                <w:kern w:val="2"/>
                <w:sz w:val="21"/>
                <w:szCs w:val="21"/>
                <w:lang w:val="en-US" w:eastAsia="zh-CN"/>
                <w14:textFill>
                  <w14:solidFill>
                    <w14:schemeClr w14:val="tx1"/>
                  </w14:solidFill>
                </w14:textFill>
              </w:rPr>
            </w:pPr>
            <w:r>
              <w:rPr>
                <w:rFonts w:hint="eastAsia" w:ascii="仿宋" w:hAnsi="仿宋" w:eastAsia="仿宋"/>
                <w:color w:val="000000" w:themeColor="text1"/>
                <w:kern w:val="2"/>
                <w:sz w:val="21"/>
                <w:szCs w:val="21"/>
                <w:lang w:val="en-US" w:eastAsia="zh-CN"/>
                <w14:textFill>
                  <w14:solidFill>
                    <w14:schemeClr w14:val="tx1"/>
                  </w14:solidFill>
                </w14:textFill>
              </w:rPr>
              <w:t>（需提供样品）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2</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试卷印刷</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试卷须使用70克双胶纸印制；</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按要求规格、数量印制每一科目试题卷和答题卷，常见规格：8开的倍数、8开的倍数+16开；</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印刷不得有模糊、缺失和错漏。</w:t>
            </w:r>
          </w:p>
          <w:p>
            <w:pPr>
              <w:widowControl/>
              <w:spacing w:after="0" w:line="240" w:lineRule="auto"/>
              <w:jc w:val="left"/>
              <w:rPr>
                <w:rFonts w:hint="default" w:ascii="仿宋" w:hAnsi="仿宋" w:eastAsia="仿宋"/>
                <w:color w:val="000000" w:themeColor="text1"/>
                <w:kern w:val="2"/>
                <w:sz w:val="21"/>
                <w:szCs w:val="21"/>
                <w:lang w:val="en-US" w:eastAsia="zh-CN"/>
                <w14:textFill>
                  <w14:solidFill>
                    <w14:schemeClr w14:val="tx1"/>
                  </w14:solidFill>
                </w14:textFill>
              </w:rPr>
            </w:pPr>
            <w:r>
              <w:rPr>
                <w:rFonts w:hint="eastAsia" w:ascii="仿宋" w:hAnsi="仿宋" w:eastAsia="仿宋"/>
                <w:color w:val="000000" w:themeColor="text1"/>
                <w:kern w:val="2"/>
                <w:sz w:val="21"/>
                <w:szCs w:val="21"/>
                <w:lang w:eastAsia="zh-CN"/>
                <w14:textFill>
                  <w14:solidFill>
                    <w14:schemeClr w14:val="tx1"/>
                  </w14:solidFill>
                </w14:textFill>
              </w:rPr>
              <w:t>（</w:t>
            </w:r>
            <w:r>
              <w:rPr>
                <w:rFonts w:hint="eastAsia" w:ascii="仿宋" w:hAnsi="仿宋" w:eastAsia="仿宋"/>
                <w:color w:val="000000" w:themeColor="text1"/>
                <w:kern w:val="2"/>
                <w:sz w:val="21"/>
                <w:szCs w:val="21"/>
                <w:lang w:val="en-US" w:eastAsia="zh-CN"/>
                <w14:textFill>
                  <w14:solidFill>
                    <w14:schemeClr w14:val="tx1"/>
                  </w14:solidFill>
                </w14:textFill>
              </w:rPr>
              <w:t>需提供样品）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3</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试卷装袋</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按学校要求按科目分考场装袋（每一科目的试题卷和答题卷装同一袋）；</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装袋不得有错漏。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4</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试卷袋标记</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按要求用铅笔标记序号、年级、科目及数量；</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标记不能模糊不清或有错漏。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5</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清点密封</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试卷装袋后均须清点科目、数量、及试卷袋标记，无误后将试卷袋密封；</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密封须整齐严密，不得有错漏。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6</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清点打包</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核查密封后的试卷袋标记、数量，按科目清点试卷袋数量，无误后按科目将试卷袋打包；</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不得将不同科目混杂打包。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7</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送卷到校</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按要求时间将试卷送至指定校区指定地点，经校方工作人员清点无误完成交接工作；</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按时送达，不得延误交付时间。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8</w:t>
            </w:r>
          </w:p>
        </w:tc>
        <w:tc>
          <w:tcPr>
            <w:tcW w:w="1328" w:type="dxa"/>
            <w:vAlign w:val="center"/>
          </w:tcPr>
          <w:p>
            <w:pPr>
              <w:widowControl/>
              <w:spacing w:after="0" w:line="240" w:lineRule="auto"/>
              <w:jc w:val="center"/>
              <w:rPr>
                <w:rFonts w:hint="eastAsia" w:ascii="仿宋" w:hAnsi="仿宋" w:eastAsia="仿宋"/>
                <w:b/>
                <w:color w:val="000000" w:themeColor="text1"/>
                <w:kern w:val="2"/>
                <w:sz w:val="21"/>
                <w:szCs w:val="21"/>
                <w14:textFill>
                  <w14:solidFill>
                    <w14:schemeClr w14:val="tx1"/>
                  </w14:solidFill>
                </w14:textFill>
              </w:rPr>
            </w:pPr>
            <w:r>
              <w:rPr>
                <w:rFonts w:hint="eastAsia" w:ascii="仿宋" w:hAnsi="仿宋" w:eastAsia="仿宋"/>
                <w:b/>
                <w:color w:val="000000" w:themeColor="text1"/>
                <w:kern w:val="2"/>
                <w:sz w:val="21"/>
                <w:szCs w:val="21"/>
                <w14:textFill>
                  <w14:solidFill>
                    <w14:schemeClr w14:val="tx1"/>
                  </w14:solidFill>
                </w14:textFill>
              </w:rPr>
              <w:t>保密</w:t>
            </w:r>
          </w:p>
        </w:tc>
        <w:tc>
          <w:tcPr>
            <w:tcW w:w="7567" w:type="dxa"/>
          </w:tcPr>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“试卷印刷”服务期间，所有资料均为保密材料，印刷方需保密，不得它用或泄露，考试结束后，校方通知印刷方，由印刷方将所有资料彻底清除，如有泄露将依照国家相关法规追究责任。</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“试卷印刷”服务期间，制版遗留物须销毁，否则将依照国家相关法规追究责任。</w:t>
            </w:r>
          </w:p>
          <w:p>
            <w:pPr>
              <w:widowControl/>
              <w:spacing w:after="0" w:line="240" w:lineRule="auto"/>
              <w:jc w:val="left"/>
              <w:rPr>
                <w:rFonts w:hint="eastAsia" w:ascii="仿宋" w:hAnsi="仿宋" w:eastAsia="仿宋"/>
                <w:color w:val="000000" w:themeColor="text1"/>
                <w:kern w:val="2"/>
                <w:sz w:val="21"/>
                <w:szCs w:val="21"/>
                <w14:textFill>
                  <w14:solidFill>
                    <w14:schemeClr w14:val="tx1"/>
                  </w14:solidFill>
                </w14:textFill>
              </w:rPr>
            </w:pPr>
            <w:r>
              <w:rPr>
                <w:rFonts w:hint="eastAsia" w:ascii="仿宋" w:hAnsi="仿宋" w:eastAsia="仿宋"/>
                <w:color w:val="000000" w:themeColor="text1"/>
                <w:kern w:val="2"/>
                <w:sz w:val="21"/>
                <w:szCs w:val="21"/>
                <w14:textFill>
                  <w14:solidFill>
                    <w14:schemeClr w14:val="tx1"/>
                  </w14:solidFill>
                </w14:textFill>
              </w:rPr>
              <w:t>“试卷印刷”服务期间，印刷方因提供该服务所产生的所有可能泄露校方所提供资料内容的废弃物均需销毁，否则将依照国家相关法规追究责任。</w:t>
            </w:r>
          </w:p>
        </w:tc>
      </w:tr>
    </w:tbl>
    <w:p>
      <w:pPr>
        <w:spacing w:after="0" w:line="500" w:lineRule="atLeas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二、学校提供印刷方试卷样稿、试卷印刷数量、试卷装袋要求、试卷袋标记要求，印刷方根据学校要求组织印刷、装袋、标记、密封、打包、送卷、保密等事项。</w:t>
      </w:r>
    </w:p>
    <w:p>
      <w:pPr>
        <w:spacing w:after="0" w:line="500" w:lineRule="atLeas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三、印刷方须按照每科目考生人数的110%印制试卷，其中100%按照上表要求印刷、装袋、标记、密封、打包，10%作为备用卷，备用卷按“试卷印刷”服务要求印制、装袋、标记、密封，并按编号由小到大的顺序将所有科目备用卷统一打包，与其它试卷一起送到指定地点。</w:t>
      </w:r>
    </w:p>
    <w:p>
      <w:pPr>
        <w:spacing w:after="0" w:line="500" w:lineRule="atLeas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四、本次“试卷印刷”服务时间为2</w:t>
      </w:r>
      <w:r>
        <w:rPr>
          <w:rFonts w:ascii="仿宋" w:hAnsi="仿宋" w:eastAsia="仿宋"/>
          <w:color w:val="000000" w:themeColor="text1"/>
          <w:sz w:val="24"/>
          <w:szCs w:val="24"/>
          <w14:textFill>
            <w14:solidFill>
              <w14:schemeClr w14:val="tx1"/>
            </w14:solidFill>
          </w14:textFill>
        </w:rPr>
        <w:t>02</w:t>
      </w:r>
      <w:r>
        <w:rPr>
          <w:rFonts w:hint="eastAsia" w:ascii="仿宋" w:hAnsi="仿宋" w:eastAsia="仿宋"/>
          <w:color w:val="000000" w:themeColor="text1"/>
          <w:sz w:val="24"/>
          <w:szCs w:val="24"/>
          <w:lang w:val="en-US" w:eastAsia="zh-CN"/>
          <w14:textFill>
            <w14:solidFill>
              <w14:schemeClr w14:val="tx1"/>
            </w14:solidFill>
          </w14:textFill>
        </w:rPr>
        <w:t>3</w:t>
      </w:r>
      <w:r>
        <w:rPr>
          <w:rFonts w:ascii="仿宋" w:hAnsi="仿宋" w:eastAsia="仿宋"/>
          <w:color w:val="000000" w:themeColor="text1"/>
          <w:sz w:val="24"/>
          <w:szCs w:val="24"/>
          <w14:textFill>
            <w14:solidFill>
              <w14:schemeClr w14:val="tx1"/>
            </w14:solidFill>
          </w14:textFill>
        </w:rPr>
        <w:t>-20</w:t>
      </w:r>
      <w:r>
        <w:rPr>
          <w:rFonts w:hint="eastAsia" w:ascii="仿宋" w:hAnsi="仿宋" w:eastAsia="仿宋"/>
          <w:color w:val="000000" w:themeColor="text1"/>
          <w:sz w:val="24"/>
          <w:szCs w:val="24"/>
          <w:lang w:val="en-US" w:eastAsia="zh-CN"/>
          <w14:textFill>
            <w14:solidFill>
              <w14:schemeClr w14:val="tx1"/>
            </w14:solidFill>
          </w14:textFill>
        </w:rPr>
        <w:t>24</w:t>
      </w:r>
      <w:r>
        <w:rPr>
          <w:rFonts w:hint="eastAsia" w:ascii="仿宋" w:hAnsi="仿宋" w:eastAsia="仿宋"/>
          <w:color w:val="000000" w:themeColor="text1"/>
          <w:sz w:val="24"/>
          <w:szCs w:val="24"/>
          <w14:textFill>
            <w14:solidFill>
              <w14:schemeClr w14:val="tx1"/>
            </w14:solidFill>
          </w14:textFill>
        </w:rPr>
        <w:t>学年，两个学期每学期印制一次试卷，一般为7月和1</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月，具体时间以学校通知为准。“试卷印刷”时长一般为8天，每次“试卷印刷”约</w:t>
      </w:r>
      <w:r>
        <w:rPr>
          <w:rFonts w:ascii="仿宋" w:hAnsi="仿宋" w:eastAsia="仿宋"/>
          <w:color w:val="000000" w:themeColor="text1"/>
          <w:sz w:val="24"/>
          <w:szCs w:val="24"/>
          <w14:textFill>
            <w14:solidFill>
              <w14:schemeClr w14:val="tx1"/>
            </w14:solidFill>
          </w14:textFill>
        </w:rPr>
        <w:t>300</w:t>
      </w:r>
      <w:r>
        <w:rPr>
          <w:rFonts w:hint="eastAsia" w:ascii="仿宋" w:hAnsi="仿宋" w:eastAsia="仿宋"/>
          <w:color w:val="000000" w:themeColor="text1"/>
          <w:sz w:val="24"/>
          <w:szCs w:val="24"/>
          <w14:textFill>
            <w14:solidFill>
              <w14:schemeClr w14:val="tx1"/>
            </w14:solidFill>
          </w14:textFill>
        </w:rPr>
        <w:t>个科目，约</w:t>
      </w:r>
      <w:r>
        <w:rPr>
          <w:rFonts w:ascii="仿宋" w:hAnsi="仿宋" w:eastAsia="仿宋"/>
          <w:color w:val="000000" w:themeColor="text1"/>
          <w:sz w:val="24"/>
          <w:szCs w:val="24"/>
          <w14:textFill>
            <w14:solidFill>
              <w14:schemeClr w14:val="tx1"/>
            </w14:solidFill>
          </w14:textFill>
        </w:rPr>
        <w:t>10</w:t>
      </w:r>
      <w:r>
        <w:rPr>
          <w:rFonts w:hint="eastAsia" w:ascii="仿宋" w:hAnsi="仿宋" w:eastAsia="仿宋"/>
          <w:color w:val="000000" w:themeColor="text1"/>
          <w:sz w:val="24"/>
          <w:szCs w:val="24"/>
          <w14:textFill>
            <w14:solidFill>
              <w14:schemeClr w14:val="tx1"/>
            </w14:solidFill>
          </w14:textFill>
        </w:rPr>
        <w:t>万份试卷（1份试卷包括试题卷和答题卷各1份），各科目试卷规格不一，按16开统计约</w:t>
      </w:r>
      <w:r>
        <w:rPr>
          <w:rFonts w:ascii="仿宋" w:hAnsi="仿宋" w:eastAsia="仿宋"/>
          <w:color w:val="000000" w:themeColor="text1"/>
          <w:sz w:val="24"/>
          <w:szCs w:val="24"/>
          <w14:textFill>
            <w14:solidFill>
              <w14:schemeClr w14:val="tx1"/>
            </w14:solidFill>
          </w14:textFill>
        </w:rPr>
        <w:t>70</w:t>
      </w:r>
      <w:r>
        <w:rPr>
          <w:rFonts w:hint="eastAsia" w:ascii="仿宋" w:hAnsi="仿宋" w:eastAsia="仿宋"/>
          <w:color w:val="000000" w:themeColor="text1"/>
          <w:sz w:val="24"/>
          <w:szCs w:val="24"/>
          <w14:textFill>
            <w14:solidFill>
              <w14:schemeClr w14:val="tx1"/>
            </w14:solidFill>
          </w14:textFill>
        </w:rPr>
        <w:t>万张（双面印刷）。试卷印刷份数分段统计如下：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8"/>
        <w:gridCol w:w="4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500" w:type="pct"/>
            <w:vAlign w:val="center"/>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印刷份数</w:t>
            </w:r>
          </w:p>
        </w:tc>
        <w:tc>
          <w:tcPr>
            <w:tcW w:w="2500" w:type="pct"/>
            <w:vAlign w:val="center"/>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占总科目比例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小于100份</w:t>
            </w:r>
          </w:p>
        </w:tc>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约4</w:t>
            </w:r>
            <w:r>
              <w:rPr>
                <w:rFonts w:ascii="仿宋" w:hAnsi="仿宋" w:eastAsia="仿宋"/>
                <w:color w:val="000000" w:themeColor="text1"/>
                <w:kern w:val="2"/>
                <w:sz w:val="22"/>
                <w:szCs w:val="28"/>
                <w14:textFill>
                  <w14:solidFill>
                    <w14:schemeClr w14:val="tx1"/>
                  </w14:solidFill>
                </w14:textFill>
              </w:rPr>
              <w:t>8</w:t>
            </w:r>
            <w:r>
              <w:rPr>
                <w:rFonts w:hint="eastAsia" w:ascii="仿宋" w:hAnsi="仿宋" w:eastAsia="仿宋"/>
                <w:color w:val="000000" w:themeColor="text1"/>
                <w:kern w:val="2"/>
                <w:sz w:val="22"/>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100-200份</w:t>
            </w:r>
          </w:p>
        </w:tc>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约29%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200-400份</w:t>
            </w:r>
          </w:p>
        </w:tc>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约10%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400-700份</w:t>
            </w:r>
          </w:p>
        </w:tc>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约</w:t>
            </w:r>
            <w:r>
              <w:rPr>
                <w:rFonts w:ascii="仿宋" w:hAnsi="仿宋" w:eastAsia="仿宋"/>
                <w:color w:val="000000" w:themeColor="text1"/>
                <w:kern w:val="2"/>
                <w:sz w:val="22"/>
                <w:szCs w:val="28"/>
                <w14:textFill>
                  <w14:solidFill>
                    <w14:schemeClr w14:val="tx1"/>
                  </w14:solidFill>
                </w14:textFill>
              </w:rPr>
              <w:t>5</w:t>
            </w:r>
            <w:r>
              <w:rPr>
                <w:rFonts w:hint="eastAsia" w:ascii="仿宋" w:hAnsi="仿宋" w:eastAsia="仿宋"/>
                <w:color w:val="000000" w:themeColor="text1"/>
                <w:kern w:val="2"/>
                <w:sz w:val="22"/>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700-1000份</w:t>
            </w:r>
          </w:p>
        </w:tc>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约4%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1000份以上</w:t>
            </w:r>
          </w:p>
        </w:tc>
        <w:tc>
          <w:tcPr>
            <w:tcW w:w="2500" w:type="pct"/>
          </w:tcPr>
          <w:p>
            <w:pPr>
              <w:spacing w:after="0" w:line="240" w:lineRule="auto"/>
              <w:jc w:val="center"/>
              <w:rPr>
                <w:rFonts w:ascii="仿宋" w:hAnsi="仿宋" w:eastAsia="仿宋"/>
                <w:color w:val="000000" w:themeColor="text1"/>
                <w:kern w:val="2"/>
                <w:sz w:val="22"/>
                <w:szCs w:val="28"/>
                <w14:textFill>
                  <w14:solidFill>
                    <w14:schemeClr w14:val="tx1"/>
                  </w14:solidFill>
                </w14:textFill>
              </w:rPr>
            </w:pPr>
            <w:r>
              <w:rPr>
                <w:rFonts w:hint="eastAsia" w:ascii="仿宋" w:hAnsi="仿宋" w:eastAsia="仿宋"/>
                <w:color w:val="000000" w:themeColor="text1"/>
                <w:kern w:val="2"/>
                <w:sz w:val="22"/>
                <w:szCs w:val="28"/>
                <w14:textFill>
                  <w14:solidFill>
                    <w14:schemeClr w14:val="tx1"/>
                  </w14:solidFill>
                </w14:textFill>
              </w:rPr>
              <w:t>约4%</w:t>
            </w:r>
          </w:p>
        </w:tc>
      </w:tr>
    </w:tbl>
    <w:p>
      <w:pPr>
        <w:spacing w:after="0" w:line="50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五、若因“试卷印刷”服务质量问题而导致学校考试无法正常进行，学校将按照“试卷印刷”服务质量有问题科目数量，以每科目罚款</w:t>
      </w:r>
      <w:r>
        <w:rPr>
          <w:rFonts w:ascii="仿宋" w:hAnsi="仿宋" w:eastAsia="仿宋"/>
          <w:color w:val="000000" w:themeColor="text1"/>
          <w:sz w:val="24"/>
          <w:szCs w:val="24"/>
          <w14:textFill>
            <w14:solidFill>
              <w14:schemeClr w14:val="tx1"/>
            </w14:solidFill>
          </w14:textFill>
        </w:rPr>
        <w:t>10</w:t>
      </w:r>
      <w:r>
        <w:rPr>
          <w:rFonts w:hint="eastAsia" w:ascii="仿宋" w:hAnsi="仿宋" w:eastAsia="仿宋"/>
          <w:color w:val="000000" w:themeColor="text1"/>
          <w:sz w:val="24"/>
          <w:szCs w:val="24"/>
          <w14:textFill>
            <w14:solidFill>
              <w14:schemeClr w14:val="tx1"/>
            </w14:solidFill>
          </w14:textFill>
        </w:rPr>
        <w:t>00元计算，在支付服务费时予以扣除，并可无条件终止后续服务。</w:t>
      </w:r>
    </w:p>
    <w:p>
      <w:pPr>
        <w:spacing w:after="0" w:line="5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试卷袋实样</w:t>
      </w:r>
    </w:p>
    <w:p>
      <w:pPr>
        <w:ind w:firstLine="280" w:firstLineChars="100"/>
        <w:rPr>
          <w:rFonts w:ascii="方正仿宋_GBK" w:eastAsia="方正仿宋_GBK"/>
          <w:color w:val="000000" w:themeColor="text1"/>
          <w:sz w:val="28"/>
          <w:szCs w:val="28"/>
          <w14:textFill>
            <w14:solidFill>
              <w14:schemeClr w14:val="tx1"/>
            </w14:solidFill>
          </w14:textFill>
        </w:rPr>
      </w:pPr>
      <w:r>
        <w:rPr>
          <w:rFonts w:hint="eastAsia" w:ascii="方正仿宋_GBK" w:eastAsia="方正仿宋_GBK"/>
          <w:color w:val="000000" w:themeColor="text1"/>
          <w:sz w:val="28"/>
          <w:szCs w:val="28"/>
          <w14:textFill>
            <w14:solidFill>
              <w14:schemeClr w14:val="tx1"/>
            </w14:solidFill>
          </w14:textFill>
        </w:rPr>
        <w:drawing>
          <wp:inline distT="0" distB="0" distL="0" distR="0">
            <wp:extent cx="3673475" cy="4641215"/>
            <wp:effectExtent l="0" t="0" r="317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703604" cy="4679591"/>
                    </a:xfrm>
                    <a:prstGeom prst="rect">
                      <a:avLst/>
                    </a:prstGeom>
                  </pic:spPr>
                </pic:pic>
              </a:graphicData>
            </a:graphic>
          </wp:inline>
        </w:drawing>
      </w:r>
      <w:r>
        <w:rPr>
          <w:rFonts w:ascii="方正仿宋_GBK" w:eastAsia="方正仿宋_GBK"/>
          <w:color w:val="000000" w:themeColor="text1"/>
          <w:sz w:val="28"/>
          <w:szCs w:val="28"/>
          <w14:textFill>
            <w14:solidFill>
              <w14:schemeClr w14:val="tx1"/>
            </w14:solidFill>
          </w14:textFill>
        </w:rPr>
        <w:t xml:space="preserve"> </w:t>
      </w:r>
    </w:p>
    <w:p>
      <w:pPr>
        <w:spacing w:after="0" w:line="500" w:lineRule="exact"/>
        <w:rPr>
          <w:rFonts w:hint="eastAsia" w:ascii="仿宋" w:hAnsi="仿宋" w:eastAsia="仿宋"/>
          <w:color w:val="000000" w:themeColor="text1"/>
          <w:sz w:val="24"/>
          <w:szCs w:val="24"/>
          <w14:textFill>
            <w14:solidFill>
              <w14:schemeClr w14:val="tx1"/>
            </w14:solidFill>
          </w14:textFill>
        </w:rPr>
      </w:pPr>
    </w:p>
    <w:p>
      <w:pPr>
        <w:spacing w:line="4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w:t>
      </w:r>
    </w:p>
    <w:p>
      <w:pPr>
        <w:numPr>
          <w:ilvl w:val="0"/>
          <w:numId w:val="5"/>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5"/>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参与人所投商品需要提供品牌、规格型号等真实详细信息，禁止复制采购人所提供的参考参数。</w:t>
      </w:r>
    </w:p>
    <w:p>
      <w:pPr>
        <w:numPr>
          <w:ilvl w:val="0"/>
          <w:numId w:val="5"/>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参与人所投商品报价应包含税费、运输费、搬运费、整体实施、安装调试费、售后服务等一切费用。</w:t>
      </w:r>
    </w:p>
    <w:p>
      <w:pPr>
        <w:spacing w:line="500" w:lineRule="exact"/>
        <w:jc w:val="left"/>
        <w:rPr>
          <w:rFonts w:ascii="仿宋" w:hAnsi="仿宋" w:eastAsia="仿宋"/>
          <w:b/>
          <w:color w:val="000000" w:themeColor="text1"/>
          <w:sz w:val="36"/>
          <w:szCs w:val="36"/>
          <w14:textFill>
            <w14:solidFill>
              <w14:schemeClr w14:val="tx1"/>
            </w14:solidFill>
          </w14:textFill>
        </w:rPr>
      </w:pPr>
    </w:p>
    <w:p>
      <w:pPr>
        <w:rPr>
          <w:rFonts w:ascii="仿宋" w:hAnsi="仿宋" w:eastAsia="仿宋"/>
          <w:b/>
          <w:color w:val="000000" w:themeColor="text1"/>
          <w:sz w:val="36"/>
          <w:szCs w:val="36"/>
          <w14:textFill>
            <w14:solidFill>
              <w14:schemeClr w14:val="tx1"/>
            </w14:solidFill>
          </w14:textFill>
        </w:rPr>
        <w:sectPr>
          <w:headerReference r:id="rId8" w:type="first"/>
          <w:headerReference r:id="rId7" w:type="default"/>
          <w:pgSz w:w="11906" w:h="16838"/>
          <w:pgMar w:top="1440" w:right="1133" w:bottom="1440" w:left="993" w:header="851" w:footer="227" w:gutter="0"/>
          <w:cols w:space="425" w:num="1"/>
          <w:titlePg/>
          <w:docGrid w:type="lines" w:linePitch="312" w:charSpace="0"/>
        </w:sectPr>
      </w:pPr>
      <w:r>
        <w:rPr>
          <w:rFonts w:ascii="仿宋" w:hAnsi="仿宋" w:eastAsia="仿宋"/>
          <w:b/>
          <w:color w:val="000000" w:themeColor="text1"/>
          <w:sz w:val="36"/>
          <w:szCs w:val="36"/>
          <w14:textFill>
            <w14:solidFill>
              <w14:schemeClr w14:val="tx1"/>
            </w14:solidFill>
          </w14:textFill>
        </w:rPr>
        <w:br w:type="page"/>
      </w:r>
    </w:p>
    <w:p>
      <w:pPr>
        <w:spacing w:after="0" w:line="1000" w:lineRule="exact"/>
        <w:jc w:val="center"/>
        <w:rPr>
          <w:rFonts w:hint="eastAsia" w:ascii="仿宋" w:hAnsi="仿宋" w:eastAsia="仿宋"/>
          <w:b/>
          <w:color w:val="000000" w:themeColor="text1"/>
          <w:sz w:val="44"/>
          <w:szCs w:val="44"/>
          <w:lang w:eastAsia="zh-CN"/>
          <w14:textFill>
            <w14:solidFill>
              <w14:schemeClr w14:val="tx1"/>
            </w14:solidFill>
          </w14:textFill>
        </w:rPr>
      </w:pPr>
      <w:r>
        <w:rPr>
          <w:rFonts w:ascii="仿宋" w:hAnsi="仿宋" w:eastAsia="仿宋"/>
          <w:b/>
          <w:color w:val="000000" w:themeColor="text1"/>
          <w:sz w:val="44"/>
          <w:szCs w:val="44"/>
          <w14:textFill>
            <w14:solidFill>
              <w14:schemeClr w14:val="tx1"/>
            </w14:solidFill>
          </w14:textFill>
        </w:rP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color w:val="000000" w:themeColor="text1"/>
          <w:sz w:val="44"/>
          <w:szCs w:val="44"/>
          <w14:textFill>
            <w14:solidFill>
              <w14:schemeClr w14:val="tx1"/>
            </w14:solidFill>
          </w14:textFill>
        </w:rPr>
        <w:t>重庆外语外事学院</w:t>
      </w:r>
      <w:r>
        <w:rPr>
          <w:rFonts w:hint="eastAsia" w:ascii="仿宋" w:hAnsi="仿宋" w:eastAsia="仿宋"/>
          <w:b/>
          <w:color w:val="000000" w:themeColor="text1"/>
          <w:sz w:val="44"/>
          <w:szCs w:val="44"/>
          <w:lang w:eastAsia="zh-CN"/>
          <w14:textFill>
            <w14:solidFill>
              <w14:schemeClr w14:val="tx1"/>
            </w14:solidFill>
          </w14:textFill>
        </w:rPr>
        <w:t>2023-2024学年试卷印刷</w:t>
      </w:r>
    </w:p>
    <w:p>
      <w:pPr>
        <w:spacing w:after="0" w:line="240" w:lineRule="auto"/>
        <w:jc w:val="center"/>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服务项目</w:t>
      </w:r>
      <w:bookmarkStart w:id="184" w:name="_GoBack"/>
      <w:bookmarkEnd w:id="184"/>
    </w:p>
    <w:p>
      <w:pPr>
        <w:spacing w:line="580" w:lineRule="exact"/>
        <w:jc w:val="center"/>
        <w:rPr>
          <w:rFonts w:ascii="仿宋" w:hAnsi="仿宋" w:eastAsia="仿宋"/>
          <w:b/>
          <w:color w:val="000000" w:themeColor="text1"/>
          <w:sz w:val="52"/>
          <w:szCs w:val="52"/>
          <w14:textFill>
            <w14:solidFill>
              <w14:schemeClr w14:val="tx1"/>
            </w14:solidFill>
          </w14:textFill>
        </w:rPr>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ascii="仿宋" w:hAnsi="仿宋" w:eastAsia="仿宋"/>
          <w:b/>
          <w:color w:val="000000" w:themeColor="text1"/>
          <w:sz w:val="36"/>
          <w:szCs w:val="36"/>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rPr>
          <w:rFonts w:hint="eastAsia" w:ascii="仿宋" w:hAnsi="仿宋" w:eastAsia="仿宋"/>
          <w:b/>
          <w:bCs/>
          <w:color w:val="000000" w:themeColor="text1"/>
          <w:sz w:val="30"/>
          <w:szCs w:val="30"/>
          <w14:textFill>
            <w14:solidFill>
              <w14:schemeClr w14:val="tx1"/>
            </w14:solidFill>
          </w14:textFill>
        </w:rPr>
        <w:sectPr>
          <w:headerReference r:id="rId10" w:type="first"/>
          <w:headerReference r:id="rId9" w:type="default"/>
          <w:type w:val="continuous"/>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4"/>
          <w:szCs w:val="24"/>
          <w14:textFill>
            <w14:solidFill>
              <w14:schemeClr w14:val="tx1"/>
            </w14:solidFill>
          </w14:textFill>
        </w:rPr>
      </w:pPr>
      <w:bookmarkStart w:id="52" w:name="_Toc191783222"/>
      <w:bookmarkStart w:id="53" w:name="_Toc192664153"/>
      <w:bookmarkStart w:id="54" w:name="_Toc182372782"/>
      <w:bookmarkStart w:id="55" w:name="_Toc211917116"/>
      <w:bookmarkStart w:id="56" w:name="_Toc213208766"/>
      <w:bookmarkStart w:id="57" w:name="_Toc160880160"/>
      <w:bookmarkStart w:id="58" w:name="_Toc181436461"/>
      <w:bookmarkStart w:id="59" w:name="_Toc169332838"/>
      <w:bookmarkStart w:id="60" w:name="_Toc177985469"/>
      <w:bookmarkStart w:id="61" w:name="_Toc203355733"/>
      <w:bookmarkStart w:id="62" w:name="_Toc192663686"/>
      <w:bookmarkStart w:id="63" w:name="_Toc217891402"/>
      <w:bookmarkStart w:id="64" w:name="_Toc181436565"/>
      <w:bookmarkStart w:id="65" w:name="_Toc180302913"/>
      <w:bookmarkStart w:id="66" w:name="_Toc213755939"/>
      <w:bookmarkStart w:id="67" w:name="_Toc160880529"/>
      <w:bookmarkStart w:id="68" w:name="_Toc192996338"/>
      <w:bookmarkStart w:id="69" w:name="_Toc191789329"/>
      <w:bookmarkStart w:id="70" w:name="_Toc193160448"/>
      <w:bookmarkStart w:id="71" w:name="_Toc192663835"/>
      <w:bookmarkStart w:id="72" w:name="_Toc225669322"/>
      <w:bookmarkStart w:id="73" w:name="_Toc182805217"/>
      <w:bookmarkStart w:id="74" w:name="_Toc213756051"/>
      <w:bookmarkStart w:id="75" w:name="_Toc219800243"/>
      <w:bookmarkStart w:id="76" w:name="_Toc193165734"/>
      <w:bookmarkStart w:id="77" w:name="_Toc170798793"/>
      <w:bookmarkStart w:id="78" w:name="_Toc169332949"/>
      <w:bookmarkStart w:id="79" w:name="_Toc213755995"/>
      <w:bookmarkStart w:id="80" w:name="_Toc223146608"/>
      <w:bookmarkStart w:id="81" w:name="_Toc235437991"/>
      <w:bookmarkStart w:id="82" w:name="_Toc191802690"/>
      <w:bookmarkStart w:id="83" w:name="_Toc235438344"/>
      <w:bookmarkStart w:id="84" w:name="_Toc251613829"/>
      <w:bookmarkStart w:id="85" w:name="_Toc267059181"/>
      <w:bookmarkStart w:id="86" w:name="_Toc267059030"/>
      <w:bookmarkStart w:id="87" w:name="_Toc227058530"/>
      <w:bookmarkStart w:id="88" w:name="_Toc213755858"/>
      <w:bookmarkStart w:id="89" w:name="_Toc191803626"/>
      <w:bookmarkStart w:id="90" w:name="_Toc267059539"/>
      <w:bookmarkStart w:id="91" w:name="_Toc267059653"/>
      <w:bookmarkStart w:id="92" w:name="_Toc267060068"/>
      <w:bookmarkStart w:id="93" w:name="_Toc251586231"/>
      <w:bookmarkStart w:id="94" w:name="_Toc266870907"/>
      <w:bookmarkStart w:id="95" w:name="_Toc267060321"/>
      <w:bookmarkStart w:id="96" w:name="_Toc230071147"/>
      <w:bookmarkStart w:id="97" w:name="_Toc192996446"/>
      <w:bookmarkStart w:id="98" w:name="_Toc267059806"/>
      <w:bookmarkStart w:id="99" w:name="_Toc267059919"/>
      <w:bookmarkStart w:id="100" w:name="_Toc266870833"/>
      <w:bookmarkStart w:id="101" w:name="_Toc259692740"/>
      <w:bookmarkStart w:id="102" w:name="_Toc259692647"/>
      <w:bookmarkStart w:id="103" w:name="_Toc258401256"/>
      <w:bookmarkStart w:id="104" w:name="_Toc254790899"/>
      <w:bookmarkStart w:id="105" w:name="_Toc255975007"/>
      <w:bookmarkStart w:id="106" w:name="_Toc273178698"/>
      <w:bookmarkStart w:id="107" w:name="_Toc249325711"/>
      <w:bookmarkStart w:id="108" w:name="_Toc232302115"/>
      <w:bookmarkStart w:id="109" w:name="_Toc267060208"/>
      <w:bookmarkStart w:id="110" w:name="_Toc235438274"/>
      <w:bookmarkStart w:id="111" w:name="_Toc266868937"/>
      <w:bookmarkStart w:id="112" w:name="_Toc253066614"/>
      <w:bookmarkStart w:id="113" w:name="_Toc266868670"/>
      <w:bookmarkStart w:id="114" w:name="_Toc267060453"/>
      <w:bookmarkStart w:id="115" w:name="_Toc266870432"/>
      <w:bookmarkStart w:id="116" w:name="_Toc236021449"/>
      <w:bookmarkStart w:id="117" w:name="_Toc259520865"/>
    </w:p>
    <w:p>
      <w:pPr>
        <w:jc w:val="center"/>
        <w:outlineLvl w:val="1"/>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仿宋" w:hAnsi="仿宋" w:eastAsia="仿宋"/>
          <w:b/>
          <w:bCs/>
          <w:color w:val="000000" w:themeColor="text1"/>
          <w:sz w:val="24"/>
          <w:szCs w:val="24"/>
          <w14:textFill>
            <w14:solidFill>
              <w14:schemeClr w14:val="tx1"/>
            </w14:solidFill>
          </w14:textFill>
        </w:rPr>
        <w:t>询价响应函</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致：重庆外语外事学院</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根据贵学校编号为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项目名称为</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的公开询价邀请，本签字代表</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（全名、职务）正式授权并代表我方</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（参与人公司名称）提交下述文件。</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 报价一览表</w:t>
      </w:r>
    </w:p>
    <w:p>
      <w:pPr>
        <w:spacing w:after="0" w:line="480" w:lineRule="exact"/>
        <w:ind w:firstLine="364" w:firstLineChars="152"/>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 参与人资质证明</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据此函，签字代表宣布同意如下：</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1.所附详细报价表中规定的应提供和交付的货物及服务报价总价（国内现场交货价）为人民币 </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，即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（中文表述），交货期为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天</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3.保证遵守公开询价文件的全部规定，所提交的材料中所含的信息均为真实、准确、完整，且不具有任何误导性。</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4.同意按公开询价文件的规定履行合同责任和义务。</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5</w:t>
      </w:r>
      <w:r>
        <w:rPr>
          <w:rFonts w:hint="eastAsia" w:ascii="仿宋" w:hAnsi="仿宋" w:eastAsia="仿宋"/>
          <w:color w:val="000000" w:themeColor="text1"/>
          <w:sz w:val="24"/>
          <w:szCs w:val="24"/>
          <w14:textFill>
            <w14:solidFill>
              <w14:schemeClr w14:val="tx1"/>
            </w14:solidFill>
          </w14:textFill>
        </w:rPr>
        <w:t>.同意提供按照贵方可能要求的与其公开询价有关的一切数据或资料</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参与人（公司全称并加盖公章）：</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参与人授权代表签字： </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电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话：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b/>
          <w:bCs/>
          <w:color w:val="000000" w:themeColor="text1"/>
          <w:sz w:val="24"/>
          <w:szCs w:val="24"/>
          <w14:textFill>
            <w14:solidFill>
              <w14:schemeClr w14:val="tx1"/>
            </w14:solidFill>
          </w14:textFill>
        </w:rPr>
        <w:t>（手机号码）</w:t>
      </w:r>
    </w:p>
    <w:p>
      <w:pPr>
        <w:pStyle w:val="58"/>
        <w:spacing w:line="480" w:lineRule="exact"/>
        <w:ind w:firstLine="480" w:firstLineChars="200"/>
        <w:jc w:val="left"/>
        <w:outlineLvl w:val="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日  期：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年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月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rPr>
          <w:rFonts w:ascii="仿宋" w:hAnsi="仿宋" w:eastAsia="仿宋" w:cs="Times New Roman"/>
          <w:color w:val="000000" w:themeColor="text1"/>
          <w:kern w:val="2"/>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br w:type="page"/>
      </w:r>
    </w:p>
    <w:p>
      <w:pPr>
        <w:jc w:val="center"/>
        <w:outlineLvl w:val="1"/>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2</w:t>
      </w:r>
      <w:r>
        <w:rPr>
          <w:rFonts w:hint="eastAsia" w:ascii="仿宋" w:hAnsi="仿宋" w:eastAsia="仿宋"/>
          <w:b/>
          <w:bCs/>
          <w:color w:val="000000" w:themeColor="text1"/>
          <w:sz w:val="24"/>
          <w:szCs w:val="24"/>
          <w14:textFill>
            <w14:solidFill>
              <w14:schemeClr w14:val="tx1"/>
            </w14:solidFill>
          </w14:textFill>
        </w:rPr>
        <w:t>、报价一览表</w:t>
      </w: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w:t>
      </w:r>
      <w:r>
        <w:rPr>
          <w:rFonts w:hint="eastAsia" w:ascii="仿宋" w:hAnsi="仿宋" w:eastAsia="仿宋"/>
          <w:color w:val="000000" w:themeColor="text1"/>
          <w:sz w:val="24"/>
          <w:szCs w:val="24"/>
          <w:lang w:val="zh-CN"/>
          <w14:textFill>
            <w14:solidFill>
              <w14:schemeClr w14:val="tx1"/>
            </w14:solidFill>
          </w14:textFill>
        </w:rPr>
        <w:t>（公司全称并加盖公章）</w:t>
      </w:r>
      <w:r>
        <w:rPr>
          <w:rFonts w:hint="eastAsia" w:ascii="仿宋" w:hAnsi="仿宋" w:eastAsia="仿宋"/>
          <w:color w:val="000000" w:themeColor="text1"/>
          <w:sz w:val="24"/>
          <w:szCs w:val="24"/>
          <w14:textFill>
            <w14:solidFill>
              <w14:schemeClr w14:val="tx1"/>
            </w14:solidFill>
          </w14:textFill>
        </w:rPr>
        <w:t xml:space="preserve">                   项目编号：</w:t>
      </w: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货币单位：</w:t>
      </w:r>
    </w:p>
    <w:tbl>
      <w:tblPr>
        <w:tblStyle w:val="24"/>
        <w:tblW w:w="4812" w:type="pct"/>
        <w:tblInd w:w="0" w:type="dxa"/>
        <w:tblLayout w:type="autofit"/>
        <w:tblCellMar>
          <w:top w:w="0" w:type="dxa"/>
          <w:left w:w="108" w:type="dxa"/>
          <w:bottom w:w="0" w:type="dxa"/>
          <w:right w:w="108" w:type="dxa"/>
        </w:tblCellMar>
      </w:tblPr>
      <w:tblGrid>
        <w:gridCol w:w="720"/>
        <w:gridCol w:w="1163"/>
        <w:gridCol w:w="2712"/>
        <w:gridCol w:w="739"/>
        <w:gridCol w:w="859"/>
        <w:gridCol w:w="984"/>
        <w:gridCol w:w="1024"/>
        <w:gridCol w:w="1011"/>
      </w:tblGrid>
      <w:tr>
        <w:tblPrEx>
          <w:tblCellMar>
            <w:top w:w="0" w:type="dxa"/>
            <w:left w:w="108" w:type="dxa"/>
            <w:bottom w:w="0" w:type="dxa"/>
            <w:right w:w="108" w:type="dxa"/>
          </w:tblCellMar>
        </w:tblPrEx>
        <w:trPr>
          <w:trHeight w:val="492" w:hRule="atLeast"/>
        </w:trPr>
        <w:tc>
          <w:tcPr>
            <w:tcW w:w="391"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序号</w:t>
            </w:r>
          </w:p>
        </w:tc>
        <w:tc>
          <w:tcPr>
            <w:tcW w:w="631"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设备名称</w:t>
            </w:r>
          </w:p>
        </w:tc>
        <w:tc>
          <w:tcPr>
            <w:tcW w:w="1472"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规格型号（技术参数）</w:t>
            </w:r>
          </w:p>
        </w:tc>
        <w:tc>
          <w:tcPr>
            <w:tcW w:w="401"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单位</w:t>
            </w:r>
          </w:p>
        </w:tc>
        <w:tc>
          <w:tcPr>
            <w:tcW w:w="466"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单价（元）</w:t>
            </w:r>
          </w:p>
        </w:tc>
        <w:tc>
          <w:tcPr>
            <w:tcW w:w="534"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总价（元）</w:t>
            </w:r>
          </w:p>
        </w:tc>
        <w:tc>
          <w:tcPr>
            <w:tcW w:w="556"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是否提供样品</w:t>
            </w:r>
          </w:p>
        </w:tc>
        <w:tc>
          <w:tcPr>
            <w:tcW w:w="549"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themeColor="text1"/>
                <w:sz w:val="20"/>
                <w:szCs w:val="20"/>
                <w14:textFill>
                  <w14:solidFill>
                    <w14:schemeClr w14:val="tx1"/>
                  </w14:solidFill>
                </w14:textFill>
              </w:rPr>
            </w:pPr>
            <w:r>
              <w:rPr>
                <w:rFonts w:hint="eastAsia" w:ascii="仿宋" w:hAnsi="仿宋" w:eastAsia="仿宋" w:cs="Tahoma"/>
                <w:b/>
                <w:bCs/>
                <w:color w:val="000000" w:themeColor="text1"/>
                <w:sz w:val="20"/>
                <w:szCs w:val="20"/>
                <w14:textFill>
                  <w14:solidFill>
                    <w14:schemeClr w14:val="tx1"/>
                  </w14:solidFill>
                </w14:textFill>
              </w:rPr>
              <w:t>备注</w:t>
            </w:r>
          </w:p>
        </w:tc>
      </w:tr>
      <w:tr>
        <w:tblPrEx>
          <w:tblCellMar>
            <w:top w:w="0" w:type="dxa"/>
            <w:left w:w="108" w:type="dxa"/>
            <w:bottom w:w="0" w:type="dxa"/>
            <w:right w:w="108" w:type="dxa"/>
          </w:tblCellMar>
        </w:tblPrEx>
        <w:trPr>
          <w:trHeight w:val="794" w:hRule="atLeast"/>
        </w:trPr>
        <w:tc>
          <w:tcPr>
            <w:tcW w:w="391"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1</w:t>
            </w:r>
          </w:p>
        </w:tc>
        <w:tc>
          <w:tcPr>
            <w:tcW w:w="631" w:type="pct"/>
            <w:tcBorders>
              <w:top w:val="nil"/>
              <w:left w:val="nil"/>
              <w:bottom w:val="single" w:color="auto" w:sz="4" w:space="0"/>
              <w:right w:val="single" w:color="auto" w:sz="4" w:space="0"/>
            </w:tcBorders>
            <w:shd w:val="clear" w:color="auto" w:fill="auto"/>
            <w:vAlign w:val="center"/>
          </w:tcPr>
          <w:p>
            <w:pPr>
              <w:snapToGrid w:val="0"/>
              <w:spacing w:after="0" w:line="240" w:lineRule="auto"/>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16开试卷</w:t>
            </w:r>
          </w:p>
          <w:p>
            <w:pPr>
              <w:spacing w:after="0" w:line="240" w:lineRule="auto"/>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（单面）</w:t>
            </w:r>
          </w:p>
        </w:tc>
        <w:tc>
          <w:tcPr>
            <w:tcW w:w="1472" w:type="pct"/>
            <w:tcBorders>
              <w:top w:val="nil"/>
              <w:left w:val="nil"/>
              <w:bottom w:val="single" w:color="auto" w:sz="4" w:space="0"/>
              <w:right w:val="single" w:color="auto" w:sz="4" w:space="0"/>
            </w:tcBorders>
            <w:shd w:val="clear" w:color="000000" w:fill="FFFFFF"/>
            <w:vAlign w:val="center"/>
          </w:tcPr>
          <w:p>
            <w:pPr>
              <w:spacing w:after="0"/>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70克双胶纸印制，单面印刷</w:t>
            </w:r>
          </w:p>
        </w:tc>
        <w:tc>
          <w:tcPr>
            <w:tcW w:w="401"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张</w:t>
            </w:r>
          </w:p>
        </w:tc>
        <w:tc>
          <w:tcPr>
            <w:tcW w:w="466"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p>
        </w:tc>
        <w:tc>
          <w:tcPr>
            <w:tcW w:w="534"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p>
        </w:tc>
        <w:tc>
          <w:tcPr>
            <w:tcW w:w="556" w:type="pct"/>
            <w:tcBorders>
              <w:top w:val="single" w:color="auto" w:sz="4" w:space="0"/>
              <w:left w:val="nil"/>
              <w:bottom w:val="single" w:color="auto" w:sz="4" w:space="0"/>
              <w:right w:val="single" w:color="auto" w:sz="4" w:space="0"/>
            </w:tcBorders>
            <w:vAlign w:val="center"/>
          </w:tcPr>
          <w:p>
            <w:pPr>
              <w:spacing w:after="0"/>
              <w:jc w:val="center"/>
              <w:rPr>
                <w:rFonts w:ascii="仿宋" w:hAnsi="仿宋" w:eastAsia="仿宋" w:cs="Tahoma"/>
                <w:color w:val="000000" w:themeColor="text1"/>
                <w:sz w:val="20"/>
                <w:szCs w:val="20"/>
                <w14:textFill>
                  <w14:solidFill>
                    <w14:schemeClr w14:val="tx1"/>
                  </w14:solidFill>
                </w14:textFill>
              </w:rPr>
            </w:pPr>
            <w:r>
              <w:rPr>
                <w:rFonts w:hint="eastAsia" w:ascii="仿宋" w:hAnsi="仿宋" w:eastAsia="仿宋" w:cs="Tahoma"/>
                <w:color w:val="000000" w:themeColor="text1"/>
                <w:sz w:val="20"/>
                <w:szCs w:val="20"/>
                <w14:textFill>
                  <w14:solidFill>
                    <w14:schemeClr w14:val="tx1"/>
                  </w14:solidFill>
                </w14:textFill>
              </w:rPr>
              <w:t>是</w:t>
            </w:r>
          </w:p>
        </w:tc>
        <w:tc>
          <w:tcPr>
            <w:tcW w:w="549" w:type="pct"/>
            <w:tcBorders>
              <w:top w:val="single" w:color="auto" w:sz="4" w:space="0"/>
              <w:left w:val="single" w:color="auto" w:sz="4" w:space="0"/>
              <w:bottom w:val="single" w:color="auto" w:sz="4" w:space="0"/>
              <w:right w:val="single" w:color="auto" w:sz="4" w:space="0"/>
            </w:tcBorders>
            <w:vAlign w:val="center"/>
          </w:tcPr>
          <w:p>
            <w:pPr>
              <w:spacing w:after="0"/>
              <w:jc w:val="center"/>
              <w:rPr>
                <w:rFonts w:ascii="仿宋" w:hAnsi="仿宋" w:eastAsia="仿宋" w:cs="Tahoma"/>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794" w:hRule="atLeast"/>
        </w:trPr>
        <w:tc>
          <w:tcPr>
            <w:tcW w:w="391"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2</w:t>
            </w:r>
          </w:p>
        </w:tc>
        <w:tc>
          <w:tcPr>
            <w:tcW w:w="631" w:type="pct"/>
            <w:tcBorders>
              <w:top w:val="nil"/>
              <w:left w:val="nil"/>
              <w:bottom w:val="single" w:color="auto" w:sz="4" w:space="0"/>
              <w:right w:val="single" w:color="auto" w:sz="4" w:space="0"/>
            </w:tcBorders>
            <w:shd w:val="clear" w:color="auto" w:fill="auto"/>
            <w:vAlign w:val="center"/>
          </w:tcPr>
          <w:p>
            <w:pPr>
              <w:snapToGrid w:val="0"/>
              <w:spacing w:after="0" w:line="240" w:lineRule="auto"/>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16开试卷</w:t>
            </w:r>
          </w:p>
          <w:p>
            <w:pPr>
              <w:spacing w:after="0" w:line="240" w:lineRule="auto"/>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（双面）</w:t>
            </w:r>
          </w:p>
        </w:tc>
        <w:tc>
          <w:tcPr>
            <w:tcW w:w="1472" w:type="pct"/>
            <w:tcBorders>
              <w:top w:val="nil"/>
              <w:left w:val="nil"/>
              <w:bottom w:val="single" w:color="auto" w:sz="4" w:space="0"/>
              <w:right w:val="single" w:color="auto" w:sz="4" w:space="0"/>
            </w:tcBorders>
            <w:shd w:val="clear" w:color="000000" w:fill="FFFFFF"/>
            <w:vAlign w:val="center"/>
          </w:tcPr>
          <w:p>
            <w:pPr>
              <w:spacing w:after="0"/>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70克双胶纸印制，双面印刷</w:t>
            </w:r>
          </w:p>
        </w:tc>
        <w:tc>
          <w:tcPr>
            <w:tcW w:w="401"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张</w:t>
            </w:r>
          </w:p>
        </w:tc>
        <w:tc>
          <w:tcPr>
            <w:tcW w:w="466"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p>
        </w:tc>
        <w:tc>
          <w:tcPr>
            <w:tcW w:w="534"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p>
        </w:tc>
        <w:tc>
          <w:tcPr>
            <w:tcW w:w="556" w:type="pct"/>
            <w:tcBorders>
              <w:top w:val="single" w:color="auto" w:sz="4" w:space="0"/>
              <w:left w:val="nil"/>
              <w:bottom w:val="single" w:color="auto" w:sz="4" w:space="0"/>
              <w:right w:val="single" w:color="auto" w:sz="4" w:space="0"/>
            </w:tcBorders>
            <w:vAlign w:val="center"/>
          </w:tcPr>
          <w:p>
            <w:pPr>
              <w:spacing w:after="0"/>
              <w:jc w:val="center"/>
              <w:rPr>
                <w:rFonts w:ascii="仿宋" w:hAnsi="仿宋" w:eastAsia="仿宋" w:cs="Tahoma"/>
                <w:color w:val="000000" w:themeColor="text1"/>
                <w:sz w:val="20"/>
                <w:szCs w:val="20"/>
                <w14:textFill>
                  <w14:solidFill>
                    <w14:schemeClr w14:val="tx1"/>
                  </w14:solidFill>
                </w14:textFill>
              </w:rPr>
            </w:pPr>
            <w:r>
              <w:rPr>
                <w:rFonts w:hint="eastAsia" w:ascii="仿宋" w:hAnsi="仿宋" w:eastAsia="仿宋" w:cs="Tahoma"/>
                <w:color w:val="000000" w:themeColor="text1"/>
                <w:sz w:val="20"/>
                <w:szCs w:val="20"/>
                <w14:textFill>
                  <w14:solidFill>
                    <w14:schemeClr w14:val="tx1"/>
                  </w14:solidFill>
                </w14:textFill>
              </w:rPr>
              <w:t>否</w:t>
            </w:r>
          </w:p>
        </w:tc>
        <w:tc>
          <w:tcPr>
            <w:tcW w:w="549" w:type="pct"/>
            <w:tcBorders>
              <w:top w:val="single" w:color="auto" w:sz="4" w:space="0"/>
              <w:left w:val="single" w:color="auto" w:sz="4" w:space="0"/>
              <w:bottom w:val="single" w:color="auto" w:sz="4" w:space="0"/>
              <w:right w:val="single" w:color="auto" w:sz="4" w:space="0"/>
            </w:tcBorders>
            <w:vAlign w:val="center"/>
          </w:tcPr>
          <w:p>
            <w:pPr>
              <w:spacing w:after="0"/>
              <w:jc w:val="center"/>
              <w:rPr>
                <w:rFonts w:ascii="仿宋" w:hAnsi="仿宋" w:eastAsia="仿宋" w:cs="Tahoma"/>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794" w:hRule="atLeast"/>
        </w:trPr>
        <w:tc>
          <w:tcPr>
            <w:tcW w:w="391"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3</w:t>
            </w:r>
          </w:p>
        </w:tc>
        <w:tc>
          <w:tcPr>
            <w:tcW w:w="631" w:type="pct"/>
            <w:tcBorders>
              <w:top w:val="nil"/>
              <w:left w:val="nil"/>
              <w:bottom w:val="single" w:color="auto" w:sz="4" w:space="0"/>
              <w:right w:val="single" w:color="auto" w:sz="4" w:space="0"/>
            </w:tcBorders>
            <w:shd w:val="clear" w:color="auto" w:fill="auto"/>
            <w:vAlign w:val="center"/>
          </w:tcPr>
          <w:p>
            <w:pPr>
              <w:spacing w:after="0"/>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试卷袋</w:t>
            </w:r>
          </w:p>
        </w:tc>
        <w:tc>
          <w:tcPr>
            <w:tcW w:w="1472" w:type="pct"/>
            <w:tcBorders>
              <w:top w:val="nil"/>
              <w:left w:val="nil"/>
              <w:bottom w:val="single" w:color="auto" w:sz="4" w:space="0"/>
              <w:right w:val="single" w:color="auto" w:sz="4" w:space="0"/>
            </w:tcBorders>
            <w:shd w:val="clear" w:color="000000" w:fill="FFFFFF"/>
            <w:vAlign w:val="center"/>
          </w:tcPr>
          <w:p>
            <w:pPr>
              <w:spacing w:after="0"/>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成品尺寸：335mm*265mm，墙50mm，搭口长</w:t>
            </w:r>
            <w:r>
              <w:rPr>
                <w:rFonts w:ascii="仿宋" w:hAnsi="仿宋" w:eastAsia="仿宋"/>
                <w:color w:val="000000" w:themeColor="text1"/>
                <w:sz w:val="20"/>
                <w:szCs w:val="20"/>
                <w14:textFill>
                  <w14:solidFill>
                    <w14:schemeClr w14:val="tx1"/>
                  </w14:solidFill>
                </w14:textFill>
              </w:rPr>
              <w:t>95</w:t>
            </w:r>
            <w:r>
              <w:rPr>
                <w:rFonts w:hint="eastAsia" w:ascii="仿宋" w:hAnsi="仿宋" w:eastAsia="仿宋"/>
                <w:color w:val="000000" w:themeColor="text1"/>
                <w:sz w:val="20"/>
                <w:szCs w:val="20"/>
                <w14:textFill>
                  <w14:solidFill>
                    <w14:schemeClr w14:val="tx1"/>
                  </w14:solidFill>
                </w14:textFill>
              </w:rPr>
              <w:t>mm；封面印制内容见下图</w:t>
            </w:r>
          </w:p>
        </w:tc>
        <w:tc>
          <w:tcPr>
            <w:tcW w:w="401"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r>
              <w:rPr>
                <w:rFonts w:hint="eastAsia" w:ascii="仿宋" w:hAnsi="仿宋" w:eastAsia="仿宋"/>
                <w:color w:val="000000" w:themeColor="text1"/>
                <w:sz w:val="20"/>
                <w:szCs w:val="20"/>
                <w14:textFill>
                  <w14:solidFill>
                    <w14:schemeClr w14:val="tx1"/>
                  </w14:solidFill>
                </w14:textFill>
              </w:rPr>
              <w:t>个</w:t>
            </w:r>
          </w:p>
        </w:tc>
        <w:tc>
          <w:tcPr>
            <w:tcW w:w="466"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p>
        </w:tc>
        <w:tc>
          <w:tcPr>
            <w:tcW w:w="534" w:type="pct"/>
            <w:tcBorders>
              <w:top w:val="nil"/>
              <w:left w:val="nil"/>
              <w:bottom w:val="single" w:color="auto" w:sz="4" w:space="0"/>
              <w:right w:val="single" w:color="auto" w:sz="4" w:space="0"/>
            </w:tcBorders>
            <w:vAlign w:val="center"/>
          </w:tcPr>
          <w:p>
            <w:pPr>
              <w:spacing w:after="0"/>
              <w:jc w:val="center"/>
              <w:rPr>
                <w:rFonts w:ascii="仿宋" w:hAnsi="仿宋" w:eastAsia="仿宋"/>
                <w:color w:val="000000" w:themeColor="text1"/>
                <w:sz w:val="20"/>
                <w:szCs w:val="20"/>
                <w14:textFill>
                  <w14:solidFill>
                    <w14:schemeClr w14:val="tx1"/>
                  </w14:solidFill>
                </w14:textFill>
              </w:rPr>
            </w:pPr>
          </w:p>
        </w:tc>
        <w:tc>
          <w:tcPr>
            <w:tcW w:w="556" w:type="pct"/>
            <w:tcBorders>
              <w:top w:val="single" w:color="auto" w:sz="4" w:space="0"/>
              <w:left w:val="nil"/>
              <w:bottom w:val="single" w:color="auto" w:sz="4" w:space="0"/>
              <w:right w:val="single" w:color="auto" w:sz="4" w:space="0"/>
            </w:tcBorders>
            <w:vAlign w:val="center"/>
          </w:tcPr>
          <w:p>
            <w:pPr>
              <w:spacing w:after="0"/>
              <w:jc w:val="center"/>
              <w:rPr>
                <w:rFonts w:ascii="仿宋" w:hAnsi="仿宋" w:eastAsia="仿宋" w:cs="Tahoma"/>
                <w:color w:val="000000" w:themeColor="text1"/>
                <w:sz w:val="20"/>
                <w:szCs w:val="20"/>
                <w14:textFill>
                  <w14:solidFill>
                    <w14:schemeClr w14:val="tx1"/>
                  </w14:solidFill>
                </w14:textFill>
              </w:rPr>
            </w:pPr>
            <w:r>
              <w:rPr>
                <w:rFonts w:hint="eastAsia" w:ascii="仿宋" w:hAnsi="仿宋" w:eastAsia="仿宋" w:cs="Tahoma"/>
                <w:color w:val="000000" w:themeColor="text1"/>
                <w:sz w:val="20"/>
                <w:szCs w:val="20"/>
                <w14:textFill>
                  <w14:solidFill>
                    <w14:schemeClr w14:val="tx1"/>
                  </w14:solidFill>
                </w14:textFill>
              </w:rPr>
              <w:t>是</w:t>
            </w:r>
          </w:p>
        </w:tc>
        <w:tc>
          <w:tcPr>
            <w:tcW w:w="549" w:type="pct"/>
            <w:tcBorders>
              <w:top w:val="single" w:color="auto" w:sz="4" w:space="0"/>
              <w:left w:val="single" w:color="auto" w:sz="4" w:space="0"/>
              <w:bottom w:val="single" w:color="auto" w:sz="4" w:space="0"/>
              <w:right w:val="single" w:color="auto" w:sz="4" w:space="0"/>
            </w:tcBorders>
            <w:vAlign w:val="center"/>
          </w:tcPr>
          <w:p>
            <w:pPr>
              <w:spacing w:after="0"/>
              <w:jc w:val="center"/>
              <w:rPr>
                <w:rFonts w:ascii="仿宋" w:hAnsi="仿宋" w:eastAsia="仿宋" w:cs="Tahoma"/>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794" w:hRule="atLeast"/>
        </w:trPr>
        <w:tc>
          <w:tcPr>
            <w:tcW w:w="1022" w:type="pct"/>
            <w:gridSpan w:val="2"/>
            <w:tcBorders>
              <w:top w:val="nil"/>
              <w:left w:val="single" w:color="auto" w:sz="4" w:space="0"/>
              <w:bottom w:val="single" w:color="auto" w:sz="4" w:space="0"/>
              <w:right w:val="single" w:color="auto" w:sz="4" w:space="0"/>
            </w:tcBorders>
            <w:shd w:val="clear" w:color="000000" w:fill="FFFFFF"/>
            <w:vAlign w:val="center"/>
          </w:tcPr>
          <w:p>
            <w:pPr>
              <w:spacing w:after="0"/>
              <w:jc w:val="center"/>
              <w:rPr>
                <w:rFonts w:ascii="仿宋" w:hAnsi="仿宋" w:eastAsia="仿宋" w:cs="Tahoma"/>
                <w:color w:val="000000" w:themeColor="text1"/>
                <w:sz w:val="20"/>
                <w:szCs w:val="20"/>
                <w14:textFill>
                  <w14:solidFill>
                    <w14:schemeClr w14:val="tx1"/>
                  </w14:solidFill>
                </w14:textFill>
              </w:rPr>
            </w:pPr>
            <w:r>
              <w:rPr>
                <w:rFonts w:hint="eastAsia" w:ascii="仿宋" w:hAnsi="仿宋" w:eastAsia="仿宋" w:cs="Tahoma"/>
                <w:color w:val="000000" w:themeColor="text1"/>
                <w:sz w:val="20"/>
                <w:szCs w:val="20"/>
                <w14:textFill>
                  <w14:solidFill>
                    <w14:schemeClr w14:val="tx1"/>
                  </w14:solidFill>
                </w14:textFill>
              </w:rPr>
              <w:t>合计</w:t>
            </w:r>
          </w:p>
        </w:tc>
        <w:tc>
          <w:tcPr>
            <w:tcW w:w="3978" w:type="pct"/>
            <w:gridSpan w:val="6"/>
            <w:tcBorders>
              <w:top w:val="nil"/>
              <w:left w:val="nil"/>
              <w:bottom w:val="single" w:color="auto" w:sz="4" w:space="0"/>
              <w:right w:val="single" w:color="auto" w:sz="4" w:space="0"/>
            </w:tcBorders>
            <w:shd w:val="clear" w:color="000000" w:fill="FFFFFF"/>
            <w:vAlign w:val="center"/>
          </w:tcPr>
          <w:p>
            <w:pPr>
              <w:spacing w:after="0"/>
              <w:jc w:val="center"/>
              <w:rPr>
                <w:rFonts w:ascii="仿宋" w:hAnsi="仿宋" w:eastAsia="仿宋" w:cs="Tahoma"/>
                <w:color w:val="000000" w:themeColor="text1"/>
                <w:sz w:val="20"/>
                <w:szCs w:val="20"/>
                <w14:textFill>
                  <w14:solidFill>
                    <w14:schemeClr w14:val="tx1"/>
                  </w14:solidFill>
                </w14:textFill>
              </w:rPr>
            </w:pPr>
          </w:p>
        </w:tc>
      </w:tr>
    </w:tbl>
    <w:p>
      <w:pPr>
        <w:spacing w:line="380" w:lineRule="exact"/>
        <w:ind w:left="147" w:leftChars="67"/>
        <w:rPr>
          <w:rFonts w:ascii="仿宋" w:hAnsi="仿宋" w:eastAsia="仿宋"/>
          <w:color w:val="000000" w:themeColor="text1"/>
          <w:sz w:val="24"/>
          <w:szCs w:val="24"/>
          <w14:textFill>
            <w14:solidFill>
              <w14:schemeClr w14:val="tx1"/>
            </w14:solidFill>
          </w14:textFill>
        </w:rPr>
      </w:pP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注：1.如果按单价计算的结果与总价不一致,以单价为准修正总价。</w:t>
      </w:r>
    </w:p>
    <w:p>
      <w:pPr>
        <w:pStyle w:val="56"/>
        <w:numPr>
          <w:ilvl w:val="0"/>
          <w:numId w:val="0"/>
        </w:numPr>
        <w:spacing w:line="380" w:lineRule="exact"/>
        <w:ind w:firstLine="720" w:firstLineChars="300"/>
        <w:rPr>
          <w:rFonts w:ascii="仿宋" w:hAnsi="仿宋" w:eastAsia="仿宋"/>
          <w:color w:val="000000" w:themeColor="text1"/>
          <w:sz w:val="24"/>
          <w:szCs w:val="24"/>
          <w14:textFill>
            <w14:solidFill>
              <w14:schemeClr w14:val="tx1"/>
            </w14:solidFill>
          </w14:textFill>
        </w:rPr>
      </w:pPr>
      <w:r>
        <w:rPr>
          <w:rFonts w:hint="eastAsia" w:ascii="仿宋" w:hAnsi="仿宋" w:eastAsia="仿宋" w:cstheme="minorBidi"/>
          <w:color w:val="000000" w:themeColor="text1"/>
          <w:sz w:val="24"/>
          <w:szCs w:val="24"/>
          <w:lang w:val="en-US" w:eastAsia="zh-CN" w:bidi="ar-SA"/>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如果不提供详细参数和报价将视为没有实质性响应</w:t>
      </w:r>
      <w:r>
        <w:rPr>
          <w:rFonts w:hint="eastAsia" w:ascii="仿宋" w:hAnsi="仿宋" w:eastAsia="仿宋"/>
          <w:color w:val="000000" w:themeColor="text1"/>
          <w:sz w:val="24"/>
          <w:szCs w:val="24"/>
          <w14:textFill>
            <w14:solidFill>
              <w14:schemeClr w14:val="tx1"/>
            </w14:solidFill>
          </w14:textFill>
        </w:rPr>
        <w:t>公开询价</w:t>
      </w:r>
      <w:r>
        <w:rPr>
          <w:rFonts w:ascii="仿宋" w:hAnsi="仿宋" w:eastAsia="仿宋"/>
          <w:color w:val="000000" w:themeColor="text1"/>
          <w:sz w:val="24"/>
          <w:szCs w:val="24"/>
          <w14:textFill>
            <w14:solidFill>
              <w14:schemeClr w14:val="tx1"/>
            </w14:solidFill>
          </w14:textFill>
        </w:rPr>
        <w:t>文件。</w:t>
      </w:r>
    </w:p>
    <w:p>
      <w:pPr>
        <w:numPr>
          <w:ilvl w:val="0"/>
          <w:numId w:val="0"/>
        </w:numPr>
        <w:spacing w:after="0" w:line="400" w:lineRule="exact"/>
        <w:ind w:firstLine="720" w:firstLineChars="300"/>
        <w:rPr>
          <w:rFonts w:hint="eastAsia" w:ascii="仿宋" w:hAnsi="仿宋" w:eastAsia="仿宋"/>
          <w:color w:val="000000" w:themeColor="text1"/>
          <w:sz w:val="24"/>
          <w:szCs w:val="24"/>
          <w:lang w:val="zh-CN"/>
          <w14:textFill>
            <w14:solidFill>
              <w14:schemeClr w14:val="tx1"/>
            </w14:solidFill>
          </w14:textFill>
        </w:rPr>
      </w:pPr>
      <w:r>
        <w:rPr>
          <w:rFonts w:hint="eastAsia" w:ascii="仿宋" w:hAnsi="仿宋" w:eastAsia="仿宋" w:cstheme="minorBidi"/>
          <w:color w:val="000000" w:themeColor="text1"/>
          <w:sz w:val="24"/>
          <w:szCs w:val="24"/>
          <w:lang w:val="zh-CN" w:eastAsia="zh-CN" w:bidi="ar-SA"/>
          <w14:textFill>
            <w14:solidFill>
              <w14:schemeClr w14:val="tx1"/>
            </w14:solidFill>
          </w14:textFill>
        </w:rPr>
        <w:t>3.</w:t>
      </w:r>
      <w:r>
        <w:rPr>
          <w:rFonts w:hint="eastAsia" w:ascii="仿宋" w:hAnsi="仿宋" w:eastAsia="仿宋"/>
          <w:color w:val="000000" w:themeColor="text1"/>
          <w:sz w:val="24"/>
          <w:szCs w:val="24"/>
          <w:lang w:val="zh-CN"/>
          <w14:textFill>
            <w14:solidFill>
              <w14:schemeClr w14:val="tx1"/>
            </w14:solidFill>
          </w14:textFill>
        </w:rPr>
        <w:t>试卷统一以16开（单面印刷）、16开（双面印刷）两种规格</w:t>
      </w:r>
      <w:r>
        <w:rPr>
          <w:rFonts w:hint="eastAsia" w:ascii="仿宋" w:hAnsi="仿宋" w:eastAsia="仿宋"/>
          <w:color w:val="000000" w:themeColor="text1"/>
          <w:sz w:val="24"/>
          <w:szCs w:val="24"/>
          <w14:textFill>
            <w14:solidFill>
              <w14:schemeClr w14:val="tx1"/>
            </w14:solidFill>
          </w14:textFill>
        </w:rPr>
        <w:t>折算报价，依据确定后的单价按实际验收数量结算</w:t>
      </w:r>
      <w:r>
        <w:rPr>
          <w:rFonts w:hint="eastAsia" w:ascii="仿宋" w:hAnsi="仿宋" w:eastAsia="仿宋"/>
          <w:color w:val="000000" w:themeColor="text1"/>
          <w:sz w:val="24"/>
          <w:szCs w:val="24"/>
          <w:lang w:val="zh-CN"/>
          <w14:textFill>
            <w14:solidFill>
              <w14:schemeClr w14:val="tx1"/>
            </w14:solidFill>
          </w14:textFill>
        </w:rPr>
        <w:t>；试卷袋以实际印制数量来结算。</w:t>
      </w:r>
    </w:p>
    <w:p>
      <w:pPr>
        <w:spacing w:after="0" w:line="300" w:lineRule="exact"/>
        <w:ind w:firstLine="480" w:firstLineChars="200"/>
        <w:rPr>
          <w:rFonts w:ascii="仿宋" w:hAnsi="仿宋" w:eastAsia="仿宋"/>
          <w:color w:val="000000" w:themeColor="text1"/>
          <w:sz w:val="24"/>
          <w:szCs w:val="24"/>
          <w:lang w:val="zh-CN"/>
          <w14:textFill>
            <w14:solidFill>
              <w14:schemeClr w14:val="tx1"/>
            </w14:solidFill>
          </w14:textFill>
        </w:rPr>
      </w:pPr>
    </w:p>
    <w:p>
      <w:pPr>
        <w:spacing w:line="380" w:lineRule="exact"/>
        <w:rPr>
          <w:rFonts w:ascii="仿宋" w:hAnsi="仿宋" w:eastAsia="仿宋"/>
          <w:color w:val="000000" w:themeColor="text1"/>
          <w:sz w:val="24"/>
          <w:szCs w:val="24"/>
          <w:lang w:val="zh-CN"/>
          <w14:textFill>
            <w14:solidFill>
              <w14:schemeClr w14:val="tx1"/>
            </w14:solidFill>
          </w14:textFill>
        </w:rPr>
      </w:pPr>
    </w:p>
    <w:p>
      <w:pPr>
        <w:spacing w:line="360" w:lineRule="auto"/>
        <w:ind w:right="960"/>
        <w:jc w:val="right"/>
        <w:rPr>
          <w:rFonts w:ascii="仿宋" w:hAnsi="仿宋" w:eastAsia="仿宋"/>
          <w:color w:val="000000" w:themeColor="text1"/>
          <w:sz w:val="24"/>
          <w:szCs w:val="24"/>
          <w:lang w:val="zh-CN"/>
          <w14:textFill>
            <w14:solidFill>
              <w14:schemeClr w14:val="tx1"/>
            </w14:solidFill>
          </w14:textFill>
        </w:rPr>
      </w:pPr>
    </w:p>
    <w:p>
      <w:pPr>
        <w:spacing w:line="360" w:lineRule="auto"/>
        <w:ind w:right="1440"/>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参与人授权代表</w:t>
      </w:r>
      <w:r>
        <w:rPr>
          <w:rFonts w:ascii="仿宋" w:hAnsi="仿宋" w:eastAsia="仿宋"/>
          <w:color w:val="000000" w:themeColor="text1"/>
          <w:sz w:val="24"/>
          <w:szCs w:val="24"/>
          <w:lang w:val="zh-CN"/>
          <w14:textFill>
            <w14:solidFill>
              <w14:schemeClr w14:val="tx1"/>
            </w14:solidFill>
          </w14:textFill>
        </w:rPr>
        <w:t>（签字</w:t>
      </w:r>
      <w:r>
        <w:rPr>
          <w:rFonts w:hint="eastAsia" w:ascii="仿宋" w:hAnsi="仿宋" w:eastAsia="仿宋"/>
          <w:color w:val="000000" w:themeColor="text1"/>
          <w:sz w:val="24"/>
          <w:szCs w:val="24"/>
          <w:lang w:val="zh-CN"/>
          <w14:textFill>
            <w14:solidFill>
              <w14:schemeClr w14:val="tx1"/>
            </w14:solidFill>
          </w14:textFill>
        </w:rPr>
        <w:t>或盖章</w:t>
      </w:r>
      <w:r>
        <w:rPr>
          <w:rFonts w:ascii="仿宋" w:hAnsi="仿宋" w:eastAsia="仿宋"/>
          <w:color w:val="000000" w:themeColor="text1"/>
          <w:sz w:val="24"/>
          <w:szCs w:val="24"/>
          <w:lang w:val="zh-CN"/>
          <w14:textFill>
            <w14:solidFill>
              <w14:schemeClr w14:val="tx1"/>
            </w14:solidFill>
          </w14:textFill>
        </w:rPr>
        <w:t>）：</w:t>
      </w:r>
    </w:p>
    <w:p>
      <w:pPr>
        <w:spacing w:line="360" w:lineRule="auto"/>
        <w:ind w:right="1406"/>
        <w:jc w:val="right"/>
        <w:rPr>
          <w:rFonts w:ascii="仿宋" w:hAnsi="仿宋" w:eastAsia="仿宋"/>
          <w:color w:val="000000" w:themeColor="text1"/>
          <w:sz w:val="24"/>
          <w:szCs w:val="24"/>
          <w:lang w:val="zh-CN"/>
          <w14:textFill>
            <w14:solidFill>
              <w14:schemeClr w14:val="tx1"/>
            </w14:solidFill>
          </w14:textFill>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 w:val="24"/>
          <w:szCs w:val="24"/>
          <w:lang w:val="zh-CN"/>
          <w14:textFill>
            <w14:solidFill>
              <w14:schemeClr w14:val="tx1"/>
            </w14:solidFill>
          </w14:textFill>
        </w:rPr>
        <w:t xml:space="preserve">日 </w:t>
      </w:r>
      <w:r>
        <w:rPr>
          <w:rFonts w:ascii="仿宋" w:hAnsi="仿宋" w:eastAsia="仿宋"/>
          <w:color w:val="000000" w:themeColor="text1"/>
          <w:sz w:val="24"/>
          <w:szCs w:val="24"/>
          <w:lang w:val="zh-CN"/>
          <w14:textFill>
            <w14:solidFill>
              <w14:schemeClr w14:val="tx1"/>
            </w14:solidFill>
          </w14:textFill>
        </w:rPr>
        <w:t xml:space="preserve">        </w:t>
      </w:r>
      <w:r>
        <w:rPr>
          <w:rFonts w:hint="eastAsia" w:ascii="仿宋" w:hAnsi="仿宋" w:eastAsia="仿宋"/>
          <w:color w:val="000000" w:themeColor="text1"/>
          <w:sz w:val="24"/>
          <w:szCs w:val="24"/>
          <w:lang w:val="zh-CN"/>
          <w14:textFill>
            <w14:solidFill>
              <w14:schemeClr w14:val="tx1"/>
            </w14:solidFill>
          </w14:textFill>
        </w:rPr>
        <w:t>期：</w:t>
      </w:r>
      <w:bookmarkStart w:id="118" w:name="_Toc267059811"/>
      <w:bookmarkStart w:id="119" w:name="_Toc267060216"/>
      <w:bookmarkStart w:id="120" w:name="_Toc192663691"/>
      <w:bookmarkStart w:id="121" w:name="_Toc259520874"/>
      <w:bookmarkStart w:id="122" w:name="_Toc213756057"/>
      <w:bookmarkStart w:id="123" w:name="_Toc192663840"/>
      <w:bookmarkStart w:id="124" w:name="_Toc160880534"/>
      <w:bookmarkStart w:id="125" w:name="_Toc181436570"/>
      <w:bookmarkStart w:id="126" w:name="_Toc191783227"/>
      <w:bookmarkStart w:id="127" w:name="_Toc253066624"/>
      <w:bookmarkStart w:id="128" w:name="_Toc191802695"/>
      <w:bookmarkStart w:id="129" w:name="_Toc181436466"/>
      <w:bookmarkStart w:id="130" w:name="_Toc182372787"/>
      <w:bookmarkStart w:id="131" w:name="_Toc232302122"/>
      <w:bookmarkStart w:id="132" w:name="_Toc180302918"/>
      <w:bookmarkStart w:id="133" w:name="_Toc236021457"/>
      <w:bookmarkStart w:id="134" w:name="_Toc217891408"/>
      <w:bookmarkStart w:id="135" w:name="_Toc170798798"/>
      <w:bookmarkStart w:id="136" w:name="_Toc169332954"/>
      <w:bookmarkStart w:id="137" w:name="_Toc225669328"/>
      <w:bookmarkStart w:id="138" w:name="_Toc255975016"/>
      <w:bookmarkStart w:id="139" w:name="_Toc213756001"/>
      <w:bookmarkStart w:id="140" w:name="_Toc169332843"/>
      <w:bookmarkStart w:id="141" w:name="_Toc251613839"/>
      <w:bookmarkStart w:id="142" w:name="_Toc177985474"/>
      <w:bookmarkStart w:id="143" w:name="_Toc193160453"/>
      <w:bookmarkStart w:id="144" w:name="_Toc211917121"/>
      <w:bookmarkStart w:id="145" w:name="_Toc203355738"/>
      <w:bookmarkStart w:id="146" w:name="_Toc192664158"/>
      <w:bookmarkStart w:id="147" w:name="_Toc258401265"/>
      <w:bookmarkStart w:id="148" w:name="_Toc182805222"/>
      <w:bookmarkStart w:id="149" w:name="_Toc160880165"/>
      <w:bookmarkStart w:id="150" w:name="_Toc254790909"/>
      <w:bookmarkStart w:id="151" w:name="_Toc251586241"/>
      <w:bookmarkStart w:id="152" w:name="_Toc213208771"/>
      <w:bookmarkStart w:id="153" w:name="_Toc235438352"/>
      <w:bookmarkStart w:id="154" w:name="_Toc227058536"/>
      <w:bookmarkStart w:id="155" w:name="_Toc191789334"/>
      <w:bookmarkStart w:id="156" w:name="_Toc223146614"/>
      <w:bookmarkStart w:id="157" w:name="_Toc193165739"/>
      <w:bookmarkStart w:id="158" w:name="_Toc267060076"/>
      <w:bookmarkStart w:id="159" w:name="_Toc213755945"/>
      <w:bookmarkStart w:id="160" w:name="_Toc235437998"/>
      <w:bookmarkStart w:id="161" w:name="_Toc249325720"/>
      <w:bookmarkStart w:id="162" w:name="_Toc273178703"/>
      <w:bookmarkStart w:id="163" w:name="_Toc267059658"/>
      <w:bookmarkStart w:id="164" w:name="_Toc259692749"/>
      <w:bookmarkStart w:id="165" w:name="_Toc191803631"/>
      <w:bookmarkStart w:id="166" w:name="_Toc267060461"/>
      <w:bookmarkStart w:id="167" w:name="_Toc266868943"/>
      <w:bookmarkStart w:id="168" w:name="_Toc267059924"/>
      <w:bookmarkStart w:id="169" w:name="_Toc235438281"/>
      <w:bookmarkStart w:id="170" w:name="_Toc192996343"/>
      <w:bookmarkStart w:id="171" w:name="_Toc266870839"/>
      <w:bookmarkStart w:id="172" w:name="_Toc192996451"/>
      <w:bookmarkStart w:id="173" w:name="_Toc266870441"/>
      <w:bookmarkStart w:id="174" w:name="_Toc266868679"/>
      <w:bookmarkStart w:id="175" w:name="_Toc267060326"/>
      <w:bookmarkStart w:id="176" w:name="_Toc267059186"/>
      <w:bookmarkStart w:id="177" w:name="_Toc259692656"/>
      <w:bookmarkStart w:id="178" w:name="_Toc267059544"/>
      <w:bookmarkStart w:id="179" w:name="_Toc213755864"/>
      <w:bookmarkStart w:id="180" w:name="_Toc267059035"/>
      <w:bookmarkStart w:id="181" w:name="_Toc230071153"/>
      <w:bookmarkStart w:id="182" w:name="_Toc266870916"/>
      <w:bookmarkStart w:id="183" w:name="_Toc219800249"/>
    </w:p>
    <w:p>
      <w:pPr>
        <w:jc w:val="center"/>
        <w:outlineLvl w:val="1"/>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3</w:t>
      </w:r>
      <w:r>
        <w:rPr>
          <w:rFonts w:hint="eastAsia" w:ascii="仿宋" w:hAnsi="仿宋" w:eastAsia="仿宋"/>
          <w:b/>
          <w:bCs/>
          <w:color w:val="000000" w:themeColor="text1"/>
          <w:sz w:val="24"/>
          <w:szCs w:val="24"/>
          <w14:textFill>
            <w14:solidFill>
              <w14:schemeClr w14:val="tx1"/>
            </w14:solidFill>
          </w14:textFill>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hint="eastAsia" w:ascii="仿宋" w:hAnsi="仿宋" w:eastAsia="仿宋"/>
          <w:b/>
          <w:bCs/>
          <w:color w:val="000000" w:themeColor="text1"/>
          <w:sz w:val="24"/>
          <w:szCs w:val="24"/>
          <w14:textFill>
            <w14:solidFill>
              <w14:schemeClr w14:val="tx1"/>
            </w14:solidFill>
          </w14:textFill>
        </w:rPr>
        <w:t>参与人资质材料</w:t>
      </w:r>
    </w:p>
    <w:p>
      <w:pPr>
        <w:pStyle w:val="41"/>
        <w:rPr>
          <w:color w:val="000000" w:themeColor="text1"/>
          <w:sz w:val="24"/>
          <w:szCs w:val="24"/>
          <w14:textFill>
            <w14:solidFill>
              <w14:schemeClr w14:val="tx1"/>
            </w14:solidFill>
          </w14:textFill>
        </w:rPr>
      </w:pPr>
    </w:p>
    <w:p>
      <w:p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参与人需要提供以下材料：</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营业执照复印件</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授权经销商或代理商证明材料复印件</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质保期和售后服务承诺书（参与人自行起草）</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试卷印刷技术、保密举措和应急举措等</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保密室、保密柜设施设备现场图等证明</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项目业绩证明</w:t>
      </w:r>
    </w:p>
    <w:p>
      <w:pPr>
        <w:pStyle w:val="56"/>
        <w:numPr>
          <w:ilvl w:val="0"/>
          <w:numId w:val="6"/>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项目样品及具体参数规格</w:t>
      </w:r>
    </w:p>
    <w:p>
      <w:pPr>
        <w:pStyle w:val="56"/>
        <w:numPr>
          <w:numId w:val="0"/>
        </w:numPr>
        <w:spacing w:after="0" w:line="500" w:lineRule="exact"/>
        <w:jc w:val="both"/>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以上材料复印件须加盖参与人公司公章，并与报价一览表一同密封</w:t>
      </w: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Yu Gothic UI"/>
    <w:panose1 w:val="00000000000000000000"/>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2899003"/>
    </w:sdtPr>
    <w:sdtContent>
      <w:sdt>
        <w:sdtPr>
          <w:id w:val="522825656"/>
        </w:sdtPr>
        <w:sdtContent>
          <w:p>
            <w:pPr>
              <w:pStyle w:val="17"/>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7"/>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r>
              <w:rPr>
                <w:b/>
                <w:bCs/>
                <w:sz w:val="24"/>
                <w:szCs w:val="24"/>
              </w:rPr>
              <w:t xml:space="preserve">        </w:t>
            </w:r>
          </w:p>
          <w:p>
            <w:pPr>
              <w:pStyle w:val="17"/>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089025" cy="242570"/>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21959" cy="272199"/>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089025" cy="24257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21959" cy="272199"/>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810D9"/>
    <w:multiLevelType w:val="multilevel"/>
    <w:tmpl w:val="06E810D9"/>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9C41BB1"/>
    <w:multiLevelType w:val="multilevel"/>
    <w:tmpl w:val="49C41BB1"/>
    <w:lvl w:ilvl="0" w:tentative="0">
      <w:start w:val="1"/>
      <w:numFmt w:val="decimal"/>
      <w:lvlText w:val="%1."/>
      <w:lvlJc w:val="left"/>
      <w:pPr>
        <w:ind w:left="785"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3">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87F21A7"/>
    <w:multiLevelType w:val="multilevel"/>
    <w:tmpl w:val="687F21A7"/>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569E1"/>
    <w:rsid w:val="00074B20"/>
    <w:rsid w:val="00082572"/>
    <w:rsid w:val="000934D4"/>
    <w:rsid w:val="000C3E2B"/>
    <w:rsid w:val="000F4F45"/>
    <w:rsid w:val="001037BF"/>
    <w:rsid w:val="0013118F"/>
    <w:rsid w:val="001561E9"/>
    <w:rsid w:val="00176CD4"/>
    <w:rsid w:val="001772BC"/>
    <w:rsid w:val="00182C6E"/>
    <w:rsid w:val="001A5B43"/>
    <w:rsid w:val="001B719E"/>
    <w:rsid w:val="001C6943"/>
    <w:rsid w:val="00235C32"/>
    <w:rsid w:val="00244E90"/>
    <w:rsid w:val="002657F7"/>
    <w:rsid w:val="002772BB"/>
    <w:rsid w:val="002A0474"/>
    <w:rsid w:val="002A633A"/>
    <w:rsid w:val="002C2C3D"/>
    <w:rsid w:val="002C4297"/>
    <w:rsid w:val="00320C30"/>
    <w:rsid w:val="00334E6F"/>
    <w:rsid w:val="003570A0"/>
    <w:rsid w:val="003C60EF"/>
    <w:rsid w:val="003C7C18"/>
    <w:rsid w:val="003E6439"/>
    <w:rsid w:val="003F20A6"/>
    <w:rsid w:val="00404FA2"/>
    <w:rsid w:val="004242F4"/>
    <w:rsid w:val="0043243C"/>
    <w:rsid w:val="00441955"/>
    <w:rsid w:val="00447890"/>
    <w:rsid w:val="004B66B1"/>
    <w:rsid w:val="004F6AE0"/>
    <w:rsid w:val="00502F52"/>
    <w:rsid w:val="00582530"/>
    <w:rsid w:val="00590957"/>
    <w:rsid w:val="005914DC"/>
    <w:rsid w:val="005A5A4D"/>
    <w:rsid w:val="005F125A"/>
    <w:rsid w:val="005F1FC8"/>
    <w:rsid w:val="00630374"/>
    <w:rsid w:val="0069669C"/>
    <w:rsid w:val="006D2FCE"/>
    <w:rsid w:val="006F3C71"/>
    <w:rsid w:val="006F5FBA"/>
    <w:rsid w:val="00754818"/>
    <w:rsid w:val="007B0F09"/>
    <w:rsid w:val="007B2319"/>
    <w:rsid w:val="007E32E9"/>
    <w:rsid w:val="00820908"/>
    <w:rsid w:val="00820F76"/>
    <w:rsid w:val="00865B30"/>
    <w:rsid w:val="00874219"/>
    <w:rsid w:val="0087518C"/>
    <w:rsid w:val="008902DC"/>
    <w:rsid w:val="009123D7"/>
    <w:rsid w:val="00916532"/>
    <w:rsid w:val="00923C7E"/>
    <w:rsid w:val="00936704"/>
    <w:rsid w:val="0094170D"/>
    <w:rsid w:val="009606BC"/>
    <w:rsid w:val="00967E57"/>
    <w:rsid w:val="00994E59"/>
    <w:rsid w:val="009B7DAD"/>
    <w:rsid w:val="00A148CE"/>
    <w:rsid w:val="00A24465"/>
    <w:rsid w:val="00A40610"/>
    <w:rsid w:val="00A4220E"/>
    <w:rsid w:val="00A44A63"/>
    <w:rsid w:val="00A45704"/>
    <w:rsid w:val="00A64A5B"/>
    <w:rsid w:val="00AD29A3"/>
    <w:rsid w:val="00AF3C2A"/>
    <w:rsid w:val="00B14C37"/>
    <w:rsid w:val="00B51EE9"/>
    <w:rsid w:val="00B54440"/>
    <w:rsid w:val="00B554E7"/>
    <w:rsid w:val="00B556FC"/>
    <w:rsid w:val="00B7278F"/>
    <w:rsid w:val="00B83714"/>
    <w:rsid w:val="00BD49FB"/>
    <w:rsid w:val="00BD51D2"/>
    <w:rsid w:val="00BD7232"/>
    <w:rsid w:val="00BE1921"/>
    <w:rsid w:val="00C035B5"/>
    <w:rsid w:val="00C66E1E"/>
    <w:rsid w:val="00C676BA"/>
    <w:rsid w:val="00C7376F"/>
    <w:rsid w:val="00C81AB4"/>
    <w:rsid w:val="00C857BF"/>
    <w:rsid w:val="00CA25CB"/>
    <w:rsid w:val="00CA6CB6"/>
    <w:rsid w:val="00CA786D"/>
    <w:rsid w:val="00D2102C"/>
    <w:rsid w:val="00D260D0"/>
    <w:rsid w:val="00D33876"/>
    <w:rsid w:val="00D36D52"/>
    <w:rsid w:val="00D56DEA"/>
    <w:rsid w:val="00D60F0E"/>
    <w:rsid w:val="00E11567"/>
    <w:rsid w:val="00E3310A"/>
    <w:rsid w:val="00E33B9E"/>
    <w:rsid w:val="00E33C1C"/>
    <w:rsid w:val="00E34C27"/>
    <w:rsid w:val="00E47041"/>
    <w:rsid w:val="00E77225"/>
    <w:rsid w:val="00E95973"/>
    <w:rsid w:val="00ED2437"/>
    <w:rsid w:val="00EE3803"/>
    <w:rsid w:val="00F0149B"/>
    <w:rsid w:val="00F21640"/>
    <w:rsid w:val="00F8646A"/>
    <w:rsid w:val="00F876DE"/>
    <w:rsid w:val="00FF1750"/>
    <w:rsid w:val="00FF655F"/>
    <w:rsid w:val="04744477"/>
    <w:rsid w:val="0E6F1647"/>
    <w:rsid w:val="58F727D7"/>
    <w:rsid w:val="68081D7E"/>
    <w:rsid w:val="7E117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0"/>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1"/>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2"/>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3"/>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4"/>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5"/>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6"/>
    <w:semiHidden/>
    <w:unhideWhenUsed/>
    <w:qFormat/>
    <w:uiPriority w:val="9"/>
    <w:pPr>
      <w:keepNext/>
      <w:keepLines/>
      <w:spacing w:before="120" w:after="0"/>
      <w:outlineLvl w:val="6"/>
    </w:pPr>
    <w:rPr>
      <w:i/>
      <w:iCs/>
    </w:rPr>
  </w:style>
  <w:style w:type="paragraph" w:styleId="9">
    <w:name w:val="heading 8"/>
    <w:basedOn w:val="1"/>
    <w:next w:val="1"/>
    <w:link w:val="37"/>
    <w:semiHidden/>
    <w:unhideWhenUsed/>
    <w:qFormat/>
    <w:uiPriority w:val="9"/>
    <w:pPr>
      <w:keepNext/>
      <w:keepLines/>
      <w:spacing w:before="120" w:after="0"/>
      <w:outlineLvl w:val="7"/>
    </w:pPr>
    <w:rPr>
      <w:b/>
      <w:bCs/>
    </w:rPr>
  </w:style>
  <w:style w:type="paragraph" w:styleId="10">
    <w:name w:val="heading 9"/>
    <w:basedOn w:val="1"/>
    <w:next w:val="1"/>
    <w:link w:val="38"/>
    <w:semiHidden/>
    <w:unhideWhenUsed/>
    <w:qFormat/>
    <w:uiPriority w:val="9"/>
    <w:pPr>
      <w:keepNext/>
      <w:keepLines/>
      <w:spacing w:before="120" w:after="0"/>
      <w:outlineLvl w:val="8"/>
    </w:pPr>
    <w:rPr>
      <w:i/>
      <w:iCs/>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60"/>
    <w:semiHidden/>
    <w:unhideWhenUsed/>
    <w:qFormat/>
    <w:uiPriority w:val="99"/>
    <w:pPr>
      <w:spacing w:after="120"/>
    </w:p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59"/>
    <w:unhideWhenUsed/>
    <w:qFormat/>
    <w:uiPriority w:val="0"/>
    <w:rPr>
      <w:rFonts w:hAnsi="Courier New" w:cs="Courier New" w:asciiTheme="minorEastAsia"/>
    </w:rPr>
  </w:style>
  <w:style w:type="paragraph" w:styleId="16">
    <w:name w:val="Balloon Text"/>
    <w:basedOn w:val="1"/>
    <w:link w:val="63"/>
    <w:semiHidden/>
    <w:unhideWhenUsed/>
    <w:uiPriority w:val="99"/>
    <w:pPr>
      <w:spacing w:after="0" w:line="240" w:lineRule="auto"/>
    </w:pPr>
    <w:rPr>
      <w:sz w:val="18"/>
      <w:szCs w:val="18"/>
    </w:rPr>
  </w:style>
  <w:style w:type="paragraph" w:styleId="17">
    <w:name w:val="footer"/>
    <w:basedOn w:val="1"/>
    <w:link w:val="55"/>
    <w:unhideWhenUsed/>
    <w:qFormat/>
    <w:uiPriority w:val="99"/>
    <w:pPr>
      <w:tabs>
        <w:tab w:val="center" w:pos="4153"/>
        <w:tab w:val="right" w:pos="8306"/>
      </w:tabs>
      <w:snapToGrid w:val="0"/>
      <w:spacing w:line="240" w:lineRule="auto"/>
      <w:jc w:val="left"/>
    </w:pPr>
    <w:rPr>
      <w:sz w:val="18"/>
      <w:szCs w:val="18"/>
    </w:rPr>
  </w:style>
  <w:style w:type="paragraph" w:styleId="18">
    <w:name w:val="header"/>
    <w:basedOn w:val="1"/>
    <w:link w:val="5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unhideWhenUsed/>
    <w:qFormat/>
    <w:uiPriority w:val="39"/>
    <w:pPr>
      <w:spacing w:after="100" w:line="259" w:lineRule="auto"/>
      <w:jc w:val="left"/>
    </w:pPr>
    <w:rPr>
      <w:rFonts w:cs="Times New Roman"/>
    </w:rPr>
  </w:style>
  <w:style w:type="paragraph" w:styleId="20">
    <w:name w:val="Subtitle"/>
    <w:basedOn w:val="1"/>
    <w:next w:val="1"/>
    <w:link w:val="40"/>
    <w:qFormat/>
    <w:uiPriority w:val="11"/>
    <w:pPr>
      <w:spacing w:after="240"/>
      <w:jc w:val="center"/>
    </w:pPr>
    <w:rPr>
      <w:rFonts w:asciiTheme="majorHAnsi" w:hAnsiTheme="majorHAnsi" w:eastAsiaTheme="majorEastAsia" w:cstheme="majorBidi"/>
      <w:sz w:val="24"/>
      <w:szCs w:val="24"/>
    </w:rPr>
  </w:style>
  <w:style w:type="paragraph" w:styleId="21">
    <w:name w:val="Body Text Indent 3"/>
    <w:basedOn w:val="1"/>
    <w:link w:val="57"/>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2">
    <w:name w:val="toc 2"/>
    <w:basedOn w:val="1"/>
    <w:next w:val="1"/>
    <w:unhideWhenUsed/>
    <w:qFormat/>
    <w:uiPriority w:val="39"/>
    <w:pPr>
      <w:spacing w:after="100" w:line="259" w:lineRule="auto"/>
      <w:ind w:left="220"/>
      <w:jc w:val="left"/>
    </w:pPr>
    <w:rPr>
      <w:rFonts w:cs="Times New Roman"/>
    </w:rPr>
  </w:style>
  <w:style w:type="paragraph" w:styleId="23">
    <w:name w:val="Title"/>
    <w:basedOn w:val="1"/>
    <w:next w:val="1"/>
    <w:link w:val="39"/>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5">
    <w:name w:val="Table Grid"/>
    <w:basedOn w:val="24"/>
    <w:qFormat/>
    <w:uiPriority w:val="59"/>
    <w:pPr>
      <w:spacing w:after="0" w:line="240" w:lineRule="auto"/>
      <w:jc w:val="left"/>
    </w:pPr>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color w:val="auto"/>
    </w:rPr>
  </w:style>
  <w:style w:type="character" w:styleId="28">
    <w:name w:val="Emphasis"/>
    <w:basedOn w:val="26"/>
    <w:qFormat/>
    <w:uiPriority w:val="20"/>
    <w:rPr>
      <w:i/>
      <w:iCs/>
      <w:color w:val="auto"/>
    </w:rPr>
  </w:style>
  <w:style w:type="character" w:styleId="29">
    <w:name w:val="Hyperlink"/>
    <w:basedOn w:val="26"/>
    <w:unhideWhenUsed/>
    <w:qFormat/>
    <w:uiPriority w:val="99"/>
    <w:rPr>
      <w:color w:val="F49100" w:themeColor="hyperlink"/>
      <w:u w:val="single"/>
      <w14:textFill>
        <w14:solidFill>
          <w14:schemeClr w14:val="hlink"/>
        </w14:solidFill>
      </w14:textFill>
    </w:rPr>
  </w:style>
  <w:style w:type="character" w:customStyle="1" w:styleId="30">
    <w:name w:val="标题 1 字符"/>
    <w:basedOn w:val="26"/>
    <w:link w:val="2"/>
    <w:qFormat/>
    <w:uiPriority w:val="9"/>
    <w:rPr>
      <w:rFonts w:asciiTheme="majorHAnsi" w:hAnsiTheme="majorHAnsi" w:eastAsiaTheme="majorEastAsia" w:cstheme="majorBidi"/>
      <w:b/>
      <w:bCs/>
      <w:caps/>
      <w:spacing w:val="4"/>
      <w:sz w:val="28"/>
      <w:szCs w:val="28"/>
    </w:rPr>
  </w:style>
  <w:style w:type="character" w:customStyle="1" w:styleId="31">
    <w:name w:val="标题 2 字符"/>
    <w:basedOn w:val="26"/>
    <w:link w:val="3"/>
    <w:semiHidden/>
    <w:uiPriority w:val="9"/>
    <w:rPr>
      <w:rFonts w:asciiTheme="majorHAnsi" w:hAnsiTheme="majorHAnsi" w:eastAsiaTheme="majorEastAsia" w:cstheme="majorBidi"/>
      <w:b/>
      <w:bCs/>
      <w:sz w:val="28"/>
      <w:szCs w:val="28"/>
    </w:rPr>
  </w:style>
  <w:style w:type="character" w:customStyle="1" w:styleId="32">
    <w:name w:val="标题 3 字符"/>
    <w:basedOn w:val="26"/>
    <w:link w:val="4"/>
    <w:semiHidden/>
    <w:qFormat/>
    <w:uiPriority w:val="9"/>
    <w:rPr>
      <w:rFonts w:asciiTheme="majorHAnsi" w:hAnsiTheme="majorHAnsi" w:eastAsiaTheme="majorEastAsia" w:cstheme="majorBidi"/>
      <w:spacing w:val="4"/>
      <w:sz w:val="24"/>
      <w:szCs w:val="24"/>
    </w:rPr>
  </w:style>
  <w:style w:type="character" w:customStyle="1" w:styleId="33">
    <w:name w:val="标题 4 字符"/>
    <w:basedOn w:val="26"/>
    <w:link w:val="5"/>
    <w:semiHidden/>
    <w:uiPriority w:val="9"/>
    <w:rPr>
      <w:rFonts w:asciiTheme="majorHAnsi" w:hAnsiTheme="majorHAnsi" w:eastAsiaTheme="majorEastAsia" w:cstheme="majorBidi"/>
      <w:i/>
      <w:iCs/>
      <w:sz w:val="24"/>
      <w:szCs w:val="24"/>
    </w:rPr>
  </w:style>
  <w:style w:type="character" w:customStyle="1" w:styleId="34">
    <w:name w:val="标题 5 字符"/>
    <w:basedOn w:val="26"/>
    <w:link w:val="6"/>
    <w:semiHidden/>
    <w:qFormat/>
    <w:uiPriority w:val="9"/>
    <w:rPr>
      <w:rFonts w:asciiTheme="majorHAnsi" w:hAnsiTheme="majorHAnsi" w:eastAsiaTheme="majorEastAsia" w:cstheme="majorBidi"/>
      <w:b/>
      <w:bCs/>
    </w:rPr>
  </w:style>
  <w:style w:type="character" w:customStyle="1" w:styleId="35">
    <w:name w:val="标题 6 字符"/>
    <w:basedOn w:val="26"/>
    <w:link w:val="7"/>
    <w:semiHidden/>
    <w:qFormat/>
    <w:uiPriority w:val="9"/>
    <w:rPr>
      <w:rFonts w:asciiTheme="majorHAnsi" w:hAnsiTheme="majorHAnsi" w:eastAsiaTheme="majorEastAsia" w:cstheme="majorBidi"/>
      <w:b/>
      <w:bCs/>
      <w:i/>
      <w:iCs/>
    </w:rPr>
  </w:style>
  <w:style w:type="character" w:customStyle="1" w:styleId="36">
    <w:name w:val="标题 7 字符"/>
    <w:basedOn w:val="26"/>
    <w:link w:val="8"/>
    <w:semiHidden/>
    <w:qFormat/>
    <w:uiPriority w:val="9"/>
    <w:rPr>
      <w:i/>
      <w:iCs/>
    </w:rPr>
  </w:style>
  <w:style w:type="character" w:customStyle="1" w:styleId="37">
    <w:name w:val="标题 8 字符"/>
    <w:basedOn w:val="26"/>
    <w:link w:val="9"/>
    <w:semiHidden/>
    <w:qFormat/>
    <w:uiPriority w:val="9"/>
    <w:rPr>
      <w:b/>
      <w:bCs/>
    </w:rPr>
  </w:style>
  <w:style w:type="character" w:customStyle="1" w:styleId="38">
    <w:name w:val="标题 9 字符"/>
    <w:basedOn w:val="26"/>
    <w:link w:val="10"/>
    <w:semiHidden/>
    <w:qFormat/>
    <w:uiPriority w:val="9"/>
    <w:rPr>
      <w:i/>
      <w:iCs/>
    </w:rPr>
  </w:style>
  <w:style w:type="character" w:customStyle="1" w:styleId="39">
    <w:name w:val="标题 字符"/>
    <w:basedOn w:val="26"/>
    <w:link w:val="23"/>
    <w:qFormat/>
    <w:uiPriority w:val="10"/>
    <w:rPr>
      <w:rFonts w:asciiTheme="majorHAnsi" w:hAnsiTheme="majorHAnsi" w:eastAsiaTheme="majorEastAsia" w:cstheme="majorBidi"/>
      <w:b/>
      <w:bCs/>
      <w:spacing w:val="-7"/>
      <w:sz w:val="48"/>
      <w:szCs w:val="48"/>
    </w:rPr>
  </w:style>
  <w:style w:type="character" w:customStyle="1" w:styleId="40">
    <w:name w:val="副标题 字符"/>
    <w:basedOn w:val="26"/>
    <w:link w:val="20"/>
    <w:qFormat/>
    <w:uiPriority w:val="11"/>
    <w:rPr>
      <w:rFonts w:asciiTheme="majorHAnsi" w:hAnsiTheme="majorHAnsi" w:eastAsiaTheme="majorEastAsia" w:cstheme="majorBidi"/>
      <w:sz w:val="24"/>
      <w:szCs w:val="24"/>
    </w:rPr>
  </w:style>
  <w:style w:type="paragraph" w:styleId="41">
    <w:name w:val="No Spacing"/>
    <w:link w:val="52"/>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2">
    <w:name w:val="Quote"/>
    <w:basedOn w:val="1"/>
    <w:next w:val="1"/>
    <w:link w:val="43"/>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3">
    <w:name w:val="引用 字符"/>
    <w:basedOn w:val="26"/>
    <w:link w:val="42"/>
    <w:qFormat/>
    <w:uiPriority w:val="29"/>
    <w:rPr>
      <w:rFonts w:asciiTheme="majorHAnsi" w:hAnsiTheme="majorHAnsi" w:eastAsiaTheme="majorEastAsia" w:cstheme="majorBidi"/>
      <w:i/>
      <w:iCs/>
      <w:sz w:val="24"/>
      <w:szCs w:val="24"/>
    </w:rPr>
  </w:style>
  <w:style w:type="paragraph" w:styleId="44">
    <w:name w:val="Intense Quote"/>
    <w:basedOn w:val="1"/>
    <w:next w:val="1"/>
    <w:link w:val="45"/>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5">
    <w:name w:val="明显引用 字符"/>
    <w:basedOn w:val="26"/>
    <w:link w:val="44"/>
    <w:uiPriority w:val="30"/>
    <w:rPr>
      <w:rFonts w:asciiTheme="majorHAnsi" w:hAnsiTheme="majorHAnsi" w:eastAsiaTheme="majorEastAsia" w:cstheme="majorBidi"/>
      <w:sz w:val="26"/>
      <w:szCs w:val="26"/>
    </w:rPr>
  </w:style>
  <w:style w:type="character" w:customStyle="1" w:styleId="46">
    <w:name w:val="Subtle Emphasis"/>
    <w:basedOn w:val="26"/>
    <w:qFormat/>
    <w:uiPriority w:val="19"/>
    <w:rPr>
      <w:i/>
      <w:iCs/>
      <w:color w:val="auto"/>
    </w:rPr>
  </w:style>
  <w:style w:type="character" w:customStyle="1" w:styleId="47">
    <w:name w:val="Intense Emphasis"/>
    <w:basedOn w:val="26"/>
    <w:qFormat/>
    <w:uiPriority w:val="21"/>
    <w:rPr>
      <w:b/>
      <w:bCs/>
      <w:i/>
      <w:iCs/>
      <w:color w:val="auto"/>
    </w:rPr>
  </w:style>
  <w:style w:type="character" w:customStyle="1" w:styleId="48">
    <w:name w:val="Subtle Reference"/>
    <w:basedOn w:val="26"/>
    <w:qFormat/>
    <w:uiPriority w:val="31"/>
    <w:rPr>
      <w:smallCaps/>
      <w:color w:val="auto"/>
      <w:u w:val="single" w:color="7E7E7E" w:themeColor="text1" w:themeTint="80"/>
    </w:rPr>
  </w:style>
  <w:style w:type="character" w:customStyle="1" w:styleId="49">
    <w:name w:val="Intense Reference"/>
    <w:basedOn w:val="26"/>
    <w:qFormat/>
    <w:uiPriority w:val="32"/>
    <w:rPr>
      <w:b/>
      <w:bCs/>
      <w:smallCaps/>
      <w:color w:val="auto"/>
      <w:u w:val="single"/>
    </w:rPr>
  </w:style>
  <w:style w:type="character" w:customStyle="1" w:styleId="50">
    <w:name w:val="Book Title"/>
    <w:basedOn w:val="26"/>
    <w:qFormat/>
    <w:uiPriority w:val="33"/>
    <w:rPr>
      <w:b/>
      <w:bCs/>
      <w:smallCaps/>
      <w:color w:val="auto"/>
    </w:rPr>
  </w:style>
  <w:style w:type="paragraph" w:customStyle="1" w:styleId="51">
    <w:name w:val="TOC Heading"/>
    <w:basedOn w:val="2"/>
    <w:next w:val="1"/>
    <w:unhideWhenUsed/>
    <w:qFormat/>
    <w:uiPriority w:val="39"/>
    <w:pPr>
      <w:outlineLvl w:val="9"/>
    </w:pPr>
  </w:style>
  <w:style w:type="character" w:customStyle="1" w:styleId="52">
    <w:name w:val="无间隔 字符"/>
    <w:basedOn w:val="26"/>
    <w:link w:val="41"/>
    <w:uiPriority w:val="1"/>
  </w:style>
  <w:style w:type="paragraph" w:customStyle="1" w:styleId="53">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4">
    <w:name w:val="页眉 字符"/>
    <w:basedOn w:val="26"/>
    <w:link w:val="18"/>
    <w:qFormat/>
    <w:uiPriority w:val="99"/>
    <w:rPr>
      <w:sz w:val="18"/>
      <w:szCs w:val="18"/>
    </w:rPr>
  </w:style>
  <w:style w:type="character" w:customStyle="1" w:styleId="55">
    <w:name w:val="页脚 字符"/>
    <w:basedOn w:val="26"/>
    <w:link w:val="17"/>
    <w:qFormat/>
    <w:uiPriority w:val="99"/>
    <w:rPr>
      <w:sz w:val="18"/>
      <w:szCs w:val="18"/>
    </w:rPr>
  </w:style>
  <w:style w:type="paragraph" w:styleId="56">
    <w:name w:val="List Paragraph"/>
    <w:basedOn w:val="1"/>
    <w:qFormat/>
    <w:uiPriority w:val="34"/>
    <w:pPr>
      <w:ind w:firstLine="420" w:firstLineChars="200"/>
    </w:pPr>
  </w:style>
  <w:style w:type="character" w:customStyle="1" w:styleId="57">
    <w:name w:val="正文文本缩进 3 字符"/>
    <w:basedOn w:val="26"/>
    <w:link w:val="21"/>
    <w:uiPriority w:val="0"/>
    <w:rPr>
      <w:rFonts w:ascii="Times New Roman" w:hAnsi="Times New Roman" w:eastAsia="宋体" w:cs="Times New Roman"/>
      <w:kern w:val="2"/>
      <w:sz w:val="16"/>
      <w:szCs w:val="16"/>
    </w:rPr>
  </w:style>
  <w:style w:type="paragraph" w:customStyle="1" w:styleId="58">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59">
    <w:name w:val="纯文本 字符"/>
    <w:basedOn w:val="26"/>
    <w:link w:val="15"/>
    <w:semiHidden/>
    <w:qFormat/>
    <w:uiPriority w:val="99"/>
    <w:rPr>
      <w:rFonts w:hAnsi="Courier New" w:cs="Courier New" w:asciiTheme="minorEastAsia"/>
    </w:rPr>
  </w:style>
  <w:style w:type="character" w:customStyle="1" w:styleId="60">
    <w:name w:val="正文文本 字符"/>
    <w:basedOn w:val="26"/>
    <w:link w:val="13"/>
    <w:semiHidden/>
    <w:uiPriority w:val="99"/>
  </w:style>
  <w:style w:type="character" w:customStyle="1" w:styleId="61">
    <w:name w:val="纯文本 Char"/>
    <w:qFormat/>
    <w:uiPriority w:val="0"/>
    <w:rPr>
      <w:rFonts w:ascii="宋体" w:hAnsi="Courier New" w:eastAsia="宋体"/>
      <w:kern w:val="2"/>
      <w:sz w:val="21"/>
      <w:lang w:val="en-US" w:eastAsia="zh-CN" w:bidi="ar-SA"/>
    </w:rPr>
  </w:style>
  <w:style w:type="table" w:customStyle="1" w:styleId="62">
    <w:name w:val="网格型1"/>
    <w:basedOn w:val="24"/>
    <w:uiPriority w:val="59"/>
    <w:pPr>
      <w:spacing w:after="0" w:line="240" w:lineRule="auto"/>
      <w:jc w:val="left"/>
    </w:pPr>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
    <w:name w:val="批注框文本 字符"/>
    <w:basedOn w:val="26"/>
    <w:link w:val="16"/>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4.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1A843-2F31-450A-BA9F-26068046E8BF}">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635</Words>
  <Characters>3620</Characters>
  <Lines>30</Lines>
  <Paragraphs>8</Paragraphs>
  <TotalTime>11</TotalTime>
  <ScaleCrop>false</ScaleCrop>
  <LinksUpToDate>false</LinksUpToDate>
  <CharactersWithSpaces>4247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2020-04-22T10:27:00Z</dcterms:created>
  <dc:creator>树亮 门</dc:creator>
  <cp:lastModifiedBy>Administrator</cp:lastModifiedBy>
  <cp:lastPrinted>2022-10-24T02:18:00Z</cp:lastPrinted>
  <dcterms:modified xsi:type="dcterms:W3CDTF">2023-11-13T01:13:11Z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3C4E95B572F3496BB16C6A9B42C49F31_13</vt:lpwstr>
  </property>
</Properties>
</file>