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/Relationships>
</file>

<file path=word/document.xml><?xml version="1.0" encoding="utf-8"?>
<w:document xmlns:v="urn:schemas-microsoft-com:vml" xmlns:w="http://schemas.openxmlformats.org/wordprocessingml/2006/main" xmlns:o="urn:schemas-microsoft-com:office:office" xmlns:r="http://schemas.openxmlformats.org/officeDocument/2006/relationships">
  <w:body>
    <w:tbl>
      <w:tblPr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/>
      </w:tblPr>
      <w:tblGrid>
        <w:gridCol w:w="4422"/>
        <w:gridCol w:w="4398"/>
      </w:tblGrid>
      <w:tr>
        <w:trPr>
          <w:wBefore/>
          <w:trHeight/>
        </w:trPr>
        <w:tc>
          <w:tcPr>
            <w:tcW w:w="442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extDirection w:val="lrTb"/>
            <w:vAlign w:val="top"/>
          </w:tcPr>
          <w:p>
            <w:pPr>
              <w:pStyle w:val="000001"/>
              <w:keepNext w:val="false"/>
              <w:keepLines w:val="false"/>
              <w:pageBreakBefore w:val="false"/>
              <w:widowControl w:val="false"/>
              <w:kinsoku/>
              <w:wordWrap/>
              <w:overflowPunct/>
              <w:topLinePunct w:val="false"/>
              <w:autoSpaceDE/>
              <w:autoSpaceDN/>
              <w:bidi w:val="false"/>
              <w:spacing w:line="50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/>
              </w:rPr>
            </w:pPr>
          </w:p>
        </w:tc>
        <w:tc>
          <w:tcPr>
            <w:tcW w:w="439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extDirection w:val="lrTb"/>
            <w:vAlign w:val="top"/>
          </w:tcPr>
          <w:p>
            <w:pPr>
              <w:pStyle w:val="000001"/>
              <w:keepNext w:val="false"/>
              <w:keepLines w:val="false"/>
              <w:pageBreakBefore w:val="false"/>
              <w:widowControl w:val="false"/>
              <w:kinsoku/>
              <w:wordWrap/>
              <w:overflowPunct/>
              <w:topLinePunct w:val="false"/>
              <w:autoSpaceDE/>
              <w:autoSpaceDN/>
              <w:bidi w:val="false"/>
              <w:spacing w:line="50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/>
              </w:rPr>
            </w:pPr>
          </w:p>
        </w:tc>
      </w:tr>
      <w:tr>
        <w:trPr>
          <w:wBefore/>
          <w:trHeight/>
        </w:trPr>
        <w:tc>
          <w:tcPr>
            <w:tcW w:w="442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extDirection w:val="lrTb"/>
            <w:vAlign w:val="top"/>
          </w:tcPr>
          <w:p>
            <w:pPr>
              <w:pStyle w:val="000001"/>
              <w:keepNext w:val="false"/>
              <w:keepLines w:val="false"/>
              <w:pageBreakBefore w:val="false"/>
              <w:widowControl w:val="false"/>
              <w:kinsoku/>
              <w:wordWrap/>
              <w:overflowPunct/>
              <w:topLinePunct w:val="false"/>
              <w:autoSpaceDE/>
              <w:autoSpaceDN/>
              <w:bidi w:val="false"/>
              <w:spacing w:line="600" w:lineRule="exact"/>
              <w:ind w:left="0" w:leftChars="0" w:right="0" w:rightChars="0" w:firstLine="0" w:firstLineChars="0"/>
              <w:outlineLvl w:val="9"/>
              <w:rPr>
                <w:rFonts w:hint="eastAsia"/>
              </w:rPr>
            </w:pPr>
            <w:r>
              <w:rPr>
                <w:sz w:val="20"/>
              </w:rPr>
              <w:pict>
                <v:shapetype id="_x0000_t136" coordsize="21600,21600" o:spt="136" adj="10800" path="m@7,l@8,m@5,21600l@6,21600e">
                  <v:textpath style="v-text-kern:t" on="t" fitpath="t"/>
                  <v:stroke joinstyle="miter"/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extrusionok="f"/>
                  <o:lock v:ext="edit" aspectratio="t"/>
                </v:shapetype>
                <v:shape id="_x0000_s1031" style="position:absolute;mso-position-horizontal-relative:text;mso-position-vertical-relative:text;z-index:524289;margin-left:-3.9pt;margin-top:10.55pt;width:438.6pt;height:52.5pt;" fillcolor="#FF0000" strokecolor="#FF0000" strokeweight="1pt" type="#_x0000_t136" adj="10800">
                  <v:fill color2="#FFFFFF"/>
                  <v:textpath style="font-size:44pt;font-family:方正小标宋_GBK;v-text-kern:t;" fitshape="t" trim="t" string="重庆市人力资源和社会保障局电子文件"/>
                </v:shape>
              </w:pict>
            </w:r>
          </w:p>
        </w:tc>
        <w:tc>
          <w:tcPr>
            <w:tcW w:w="439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extDirection w:val="lrTb"/>
            <w:vAlign w:val="top"/>
          </w:tcPr>
          <w:p>
            <w:pPr>
              <w:pStyle w:val="000001"/>
              <w:keepNext w:val="false"/>
              <w:keepLines w:val="false"/>
              <w:pageBreakBefore w:val="false"/>
              <w:widowControl w:val="false"/>
              <w:kinsoku/>
              <w:wordWrap/>
              <w:overflowPunct/>
              <w:topLinePunct w:val="false"/>
              <w:autoSpaceDE/>
              <w:autoSpaceDN/>
              <w:bidi w:val="false"/>
              <w:spacing w:line="600" w:lineRule="exact"/>
              <w:ind w:left="0" w:leftChars="0" w:right="0" w:rightChars="0" w:firstLine="0" w:firstLineChars="0"/>
              <w:outlineLvl w:val="9"/>
              <w:rPr>
                <w:rFonts w:hint="eastAsia"/>
              </w:rPr>
            </w:pPr>
          </w:p>
        </w:tc>
      </w:tr>
      <w:tr>
        <w:trPr>
          <w:wBefore/>
          <w:trHeight w:val="700" w:hRule="atLeast"/>
        </w:trPr>
        <w:tc>
          <w:tcPr>
            <w:tcW w:w="442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extDirection w:val="lrTb"/>
            <w:vAlign w:val="top"/>
          </w:tcPr>
          <w:p>
            <w:pPr>
              <w:pStyle w:val="000001"/>
              <w:keepNext w:val="false"/>
              <w:keepLines w:val="false"/>
              <w:pageBreakBefore w:val="false"/>
              <w:widowControl w:val="false"/>
              <w:kinsoku/>
              <w:wordWrap/>
              <w:overflowPunct/>
              <w:topLinePunct w:val="false"/>
              <w:autoSpaceDE/>
              <w:autoSpaceDN/>
              <w:bidi w:val="false"/>
              <w:spacing w:line="600" w:lineRule="exact"/>
              <w:ind w:left="0" w:leftChars="0" w:right="0" w:rightChars="0" w:firstLine="0" w:firstLineChars="0"/>
              <w:outlineLvl w:val="9"/>
              <w:rPr>
                <w:rFonts w:hint="eastAsia"/>
              </w:rPr>
            </w:pPr>
          </w:p>
        </w:tc>
        <w:tc>
          <w:tcPr>
            <w:tcW w:w="439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extDirection w:val="lrTb"/>
            <w:vAlign w:val="top"/>
          </w:tcPr>
          <w:p>
            <w:pPr>
              <w:pStyle w:val="000001"/>
              <w:keepNext w:val="false"/>
              <w:keepLines w:val="false"/>
              <w:pageBreakBefore w:val="false"/>
              <w:widowControl w:val="false"/>
              <w:kinsoku/>
              <w:wordWrap/>
              <w:overflowPunct/>
              <w:topLinePunct w:val="false"/>
              <w:autoSpaceDE/>
              <w:autoSpaceDN/>
              <w:bidi w:val="false"/>
              <w:spacing w:line="600" w:lineRule="exact"/>
              <w:ind w:left="0" w:leftChars="0" w:right="0" w:rightChars="0" w:firstLine="0" w:firstLineChars="0"/>
              <w:outlineLvl w:val="9"/>
              <w:rPr>
                <w:rFonts w:hint="eastAsia"/>
              </w:rPr>
            </w:pPr>
          </w:p>
        </w:tc>
      </w:tr>
      <w:tr>
        <w:trPr>
          <w:wBefore/>
          <w:cantSplit/>
          <w:trHeight/>
        </w:trPr>
        <w:tc>
          <w:tcPr>
            <w:tcW w:w="882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extDirection w:val="lrTb"/>
            <w:vAlign w:val="top"/>
          </w:tcPr>
          <w:p>
            <w:pPr>
              <w:pStyle w:val="000001"/>
              <w:keepNext w:val="false"/>
              <w:keepLines w:val="false"/>
              <w:pageBreakBefore w:val="false"/>
              <w:widowControl w:val="false"/>
              <w:kinsoku/>
              <w:wordWrap/>
              <w:overflowPunct/>
              <w:topLinePunct w:val="false"/>
              <w:autoSpaceDE/>
              <w:autoSpaceDN/>
              <w:bidi w:val="false"/>
              <w:spacing w:line="40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/>
              </w:rPr>
            </w:pPr>
          </w:p>
          <w:p>
            <w:pPr>
              <w:pStyle w:val="000001"/>
              <w:keepNext w:val="false"/>
              <w:keepLines w:val="false"/>
              <w:pageBreakBefore w:val="false"/>
              <w:widowControl w:val="false"/>
              <w:kinsoku/>
              <w:wordWrap/>
              <w:overflowPunct/>
              <w:topLinePunct w:val="false"/>
              <w:autoSpaceDE/>
              <w:autoSpaceDN/>
              <w:bidi w:val="false"/>
              <w:spacing w:line="6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eastAsia="方正仿宋简体"/>
                <w:szCs w:val="32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lang w:eastAsia="zh-CN"/>
              </w:rPr>
              <w:t>渝人社规</w:t>
            </w: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</w:rPr>
              <w:t>〔</w:t>
            </w:r>
            <w:r>
              <w:rPr>
                <w:rFonts w:hint="eastAsia" w:eastAsia="方正仿宋_GBK" w:cs="Times New Roman"/>
                <w:sz w:val="32"/>
                <w:szCs w:val="32"/>
                <w:lang w:eastAsia="zh-CN"/>
              </w:rPr>
              <w:t>2025</w:t>
            </w: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</w:rPr>
              <w:t>〕</w:t>
            </w:r>
            <w:r>
              <w:rPr>
                <w:rFonts w:hint="eastAsia" w:eastAsia="方正仿宋_GBK" w:cs="Times New Roman"/>
                <w:sz w:val="32"/>
                <w:szCs w:val="32"/>
                <w:lang w:eastAsia="zh-CN"/>
              </w:rPr>
              <w:t>5</w:t>
            </w: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</w:rPr>
              <w:t>号</w:t>
            </w:r>
          </w:p>
        </w:tc>
      </w:tr>
    </w:tbl>
    <w:p>
      <w:pPr>
        <w:pStyle w:val="000001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spacing w:line="560" w:lineRule="exact"/>
        <w:ind w:left="0" w:leftChars="0"/>
        <w:rPr>
          <w:rFonts w:hint="eastAsia"/>
        </w:rPr>
      </w:pPr>
      <w:r>
        <w:rPr/>
        <w:pict>
          <v:shape id="_x0000_s1032" style="position:absolute;mso-position-horizontal-relative:text;mso-position-vertical-relative:text;z-index:524288;mso-position-horizontal:center;margin-left:0pt;margin-top:11.35pt;width:439.35pt;height:0.75pt;" coordsize="8925,15" filled="f" strokecolor="#FF0000" strokeweight="3pt" path="m0,0l8925,15e"/>
        </w:pict>
      </w:r>
    </w:p>
    <w:bookmarkStart w:id="1" w:name="GWZW"/>
    <w:bookmarkEnd w:id="1"/>
    <w:p>
      <w:pPr>
        <w:pStyle w:val="000001"/>
        <w:spacing w:line="560" w:lineRule="exact"/>
        <w:ind/>
        <w:rPr>
          <w:rFonts w:hint="eastAsia" w:ascii="Times New Roman" w:hAnsi="Times New Roman" w:eastAsia="方正仿宋_GBK" w:cs="方正仿宋_GBK"/>
          <w:i w:val="false"/>
          <w:caps w:val="false"/>
          <w:color w:val="111f2c"/>
          <w:spacing w:val="0"/>
          <w:sz w:val="32"/>
          <w:szCs w:val="32"/>
          <w:shd w:val="clear" w:color="auto" w:fill="ffffff"/>
        </w:rPr>
      </w:pPr>
    </w:p>
    <w:p>
      <w:pPr>
        <w:pStyle w:val="000001"/>
        <w:spacing w:line="560" w:lineRule="exact"/>
        <w:ind w:left="1264" w:leftChars="400" w:right="1264" w:rightChars="400" w:firstLine="0" w:firstLineChars="0"/>
        <w:jc w:val="distribute"/>
        <w:rPr>
          <w:rFonts w:hint="eastAsia" w:ascii="Times New Roman" w:hAnsi="Times New Roman" w:eastAsia="方正小标宋_GBK" w:cs="方正小标宋_GBK"/>
          <w:color w:val="000000"/>
          <w:spacing w:val="0"/>
          <w:sz w:val="44"/>
          <w:szCs w:val="44"/>
        </w:rPr>
      </w:pPr>
      <w:r>
        <w:rPr>
          <w:rFonts w:hint="eastAsia" w:ascii="Times New Roman" w:hAnsi="Times New Roman" w:eastAsia="方正小标宋_GBK" w:cs="方正小标宋_GBK"/>
          <w:color w:val="000000"/>
          <w:spacing w:val="0"/>
          <w:sz w:val="44"/>
          <w:szCs w:val="44"/>
        </w:rPr>
        <w:t>中共重庆市委组织部</w:t>
      </w:r>
    </w:p>
    <w:p>
      <w:pPr>
        <w:pStyle w:val="000001"/>
        <w:spacing w:line="560" w:lineRule="exact"/>
        <w:ind w:left="1264" w:leftChars="400" w:right="1264" w:rightChars="400" w:firstLine="0" w:firstLineChars="0"/>
        <w:jc w:val="distribute"/>
        <w:rPr>
          <w:rFonts w:hint="eastAsia" w:ascii="Times New Roman" w:hAnsi="Times New Roman" w:eastAsia="方正小标宋_GBK" w:cs="方正小标宋_GBK"/>
          <w:color w:val="000000"/>
          <w:spacing w:val="0"/>
          <w:sz w:val="44"/>
          <w:szCs w:val="44"/>
        </w:rPr>
      </w:pPr>
      <w:r>
        <w:rPr>
          <w:rFonts w:hint="eastAsia" w:ascii="Times New Roman" w:hAnsi="Times New Roman" w:eastAsia="方正小标宋_GBK" w:cs="方正小标宋_GBK"/>
          <w:color w:val="000000"/>
          <w:spacing w:val="0"/>
          <w:sz w:val="44"/>
          <w:szCs w:val="44"/>
        </w:rPr>
        <w:t>重庆市人力资源和社会保障局</w:t>
      </w:r>
    </w:p>
    <w:p>
      <w:pPr>
        <w:pStyle w:val="000001"/>
        <w:spacing w:line="560" w:lineRule="exact"/>
        <w:ind w:left="1264" w:leftChars="400" w:right="1264" w:rightChars="400" w:firstLine="0" w:firstLineChars="0"/>
        <w:jc w:val="distribute"/>
        <w:rPr>
          <w:rFonts w:hint="eastAsia" w:ascii="Times New Roman" w:hAnsi="Times New Roman" w:eastAsia="方正小标宋_GBK" w:cs="方正小标宋_GBK"/>
          <w:color w:val="000000"/>
          <w:spacing w:val="0"/>
          <w:sz w:val="44"/>
          <w:szCs w:val="44"/>
        </w:rPr>
      </w:pPr>
      <w:r>
        <w:rPr>
          <w:rFonts w:hint="eastAsia" w:ascii="Times New Roman" w:hAnsi="Times New Roman" w:eastAsia="方正小标宋_GBK" w:cs="方正小标宋_GBK"/>
          <w:color w:val="000000"/>
          <w:spacing w:val="0"/>
          <w:sz w:val="44"/>
          <w:szCs w:val="44"/>
        </w:rPr>
        <w:t>重庆市教育委员会</w:t>
      </w:r>
    </w:p>
    <w:p>
      <w:pPr>
        <w:pStyle w:val="000001"/>
        <w:spacing w:line="560" w:lineRule="exact"/>
        <w:ind w:left="1264" w:leftChars="400" w:right="1264" w:rightChars="400" w:firstLine="0" w:firstLineChars="0"/>
        <w:jc w:val="distribute"/>
        <w:rPr>
          <w:rFonts w:hint="eastAsia" w:ascii="Times New Roman" w:hAnsi="Times New Roman" w:eastAsia="方正小标宋_GBK" w:cs="方正小标宋_GBK"/>
          <w:color w:val="000000"/>
          <w:spacing w:val="0"/>
          <w:sz w:val="44"/>
          <w:szCs w:val="44"/>
        </w:rPr>
      </w:pPr>
      <w:r>
        <w:rPr>
          <w:rFonts w:hint="eastAsia" w:ascii="Times New Roman" w:hAnsi="Times New Roman" w:eastAsia="方正小标宋_GBK" w:cs="方正小标宋_GBK"/>
          <w:color w:val="000000"/>
          <w:spacing w:val="0"/>
          <w:sz w:val="44"/>
          <w:szCs w:val="44"/>
        </w:rPr>
        <w:t>重庆市国有资产监督管理委员会</w:t>
      </w:r>
    </w:p>
    <w:p>
      <w:pPr>
        <w:pStyle w:val="000001"/>
        <w:spacing w:line="560" w:lineRule="exact"/>
        <w:ind w:firstLine="0" w:firstLineChars="0"/>
        <w:jc w:val="center"/>
        <w:rPr>
          <w:rFonts w:hint="eastAsia" w:ascii="Times New Roman" w:hAnsi="Times New Roman" w:eastAsia="方正小标宋_GBK" w:cs="方正小标宋_GBK"/>
          <w:color w:val="000000"/>
          <w:sz w:val="44"/>
          <w:szCs w:val="44"/>
          <w:lang w:eastAsia="zh-CN"/>
        </w:rPr>
      </w:pPr>
      <w:r>
        <w:rPr>
          <w:rFonts w:hint="eastAsia" w:ascii="Times New Roman" w:hAnsi="Times New Roman" w:eastAsia="方正小标宋_GBK" w:cs="方正小标宋_GBK"/>
          <w:color w:val="000000"/>
          <w:sz w:val="44"/>
          <w:szCs w:val="44"/>
        </w:rPr>
        <w:t>关于高校毕业生</w:t>
      </w:r>
      <w:r>
        <w:rPr>
          <w:rFonts w:hint="eastAsia" w:ascii="Times New Roman" w:hAnsi="Times New Roman" w:eastAsia="方正小标宋_GBK" w:cs="方正小标宋_GBK"/>
          <w:color w:val="000000"/>
          <w:sz w:val="44"/>
          <w:szCs w:val="44"/>
          <w:lang w:eastAsia="zh-CN"/>
        </w:rPr>
        <w:t>就业</w:t>
      </w:r>
      <w:r>
        <w:rPr>
          <w:rFonts w:hint="eastAsia" w:ascii="Times New Roman" w:hAnsi="Times New Roman" w:eastAsia="方正小标宋_GBK" w:cs="方正小标宋_GBK"/>
          <w:color w:val="000000"/>
          <w:sz w:val="44"/>
          <w:szCs w:val="44"/>
        </w:rPr>
        <w:t>有关</w:t>
      </w:r>
      <w:r>
        <w:rPr>
          <w:rFonts w:hint="eastAsia" w:ascii="Times New Roman" w:hAnsi="Times New Roman" w:eastAsia="方正小标宋_GBK" w:cs="方正小标宋_GBK"/>
          <w:color w:val="000000"/>
          <w:sz w:val="44"/>
          <w:szCs w:val="44"/>
          <w:lang w:val="en-US" w:eastAsia="zh-CN"/>
        </w:rPr>
        <w:t>事项</w:t>
      </w:r>
      <w:r>
        <w:rPr>
          <w:rFonts w:hint="eastAsia" w:ascii="Times New Roman" w:hAnsi="Times New Roman" w:eastAsia="方正小标宋_GBK" w:cs="方正小标宋_GBK"/>
          <w:color w:val="000000"/>
          <w:sz w:val="44"/>
          <w:szCs w:val="44"/>
        </w:rPr>
        <w:t>的通知</w:t>
      </w:r>
      <w:r>
        <w:rPr>
          <w:rFonts w:hint="eastAsia" w:eastAsia="方正小标宋_GBK" w:cs="方正小标宋_GBK"/>
          <w:color w:val="000000"/>
          <w:sz w:val="44"/>
          <w:szCs w:val="44"/>
          <w:lang w:eastAsia="zh-CN"/>
        </w:rPr>
        <w:t>（试行）</w:t>
      </w:r>
    </w:p>
    <w:p>
      <w:pPr>
        <w:pStyle w:val="000001"/>
        <w:spacing w:line="560" w:lineRule="exact"/>
        <w:ind w:firstLine="632" w:firstLineChars="200"/>
        <w:jc w:val="both"/>
        <w:rPr>
          <w:rFonts w:hint="eastAsia" w:ascii="Times New Roman" w:hAnsi="Times New Roman" w:eastAsia="方正仿宋_GBK" w:cs="方正仿宋_GBK"/>
          <w:color w:val="000000"/>
          <w:sz w:val="32"/>
          <w:szCs w:val="20"/>
          <w:lang w:eastAsia="zh-CN"/>
        </w:rPr>
      </w:pPr>
    </w:p>
    <w:p>
      <w:pPr>
        <w:pStyle w:val="000001"/>
        <w:spacing w:line="560" w:lineRule="exact"/>
        <w:ind w:firstLine="0" w:firstLineChars="0"/>
        <w:jc w:val="both"/>
        <w:rPr>
          <w:rFonts w:hint="eastAsia" w:ascii="Times New Roman" w:hAnsi="Times New Roman" w:eastAsia="方正仿宋_GBK" w:cs="方正仿宋_GBK"/>
          <w:color w:val="000000"/>
          <w:sz w:val="32"/>
          <w:szCs w:val="20"/>
          <w:lang w:eastAsia="zh-CN"/>
        </w:rPr>
      </w:pPr>
      <w:r>
        <w:rPr>
          <w:rFonts w:hint="eastAsia" w:ascii="Times New Roman" w:hAnsi="Times New Roman" w:eastAsia="方正仿宋_GBK" w:cs="方正仿宋_GBK"/>
          <w:color w:val="000000"/>
          <w:sz w:val="32"/>
          <w:szCs w:val="20"/>
        </w:rPr>
        <w:t>各区县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20"/>
          <w:lang w:eastAsia="zh-CN"/>
        </w:rPr>
        <w:t>（自治县）党委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20"/>
        </w:rPr>
        <w:t>组织部</w:t>
      </w:r>
      <w:r>
        <w:rPr>
          <w:rFonts w:hint="eastAsia" w:eastAsia="方正仿宋_GBK" w:cs="方正仿宋_GBK"/>
          <w:color w:val="000000"/>
          <w:sz w:val="32"/>
          <w:szCs w:val="20"/>
          <w:lang w:eastAsia="zh-CN"/>
        </w:rPr>
        <w:t>、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20"/>
          <w:lang w:eastAsia="zh-CN"/>
        </w:rPr>
        <w:t>人力社保局、教委、国资监管机构，两江新区党委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20"/>
        </w:rPr>
        <w:t>组织部</w:t>
      </w:r>
      <w:r>
        <w:rPr>
          <w:rFonts w:hint="eastAsia" w:eastAsia="方正仿宋_GBK" w:cs="方正仿宋_GBK"/>
          <w:color w:val="000000"/>
          <w:sz w:val="32"/>
          <w:szCs w:val="20"/>
          <w:lang w:eastAsia="zh-CN"/>
        </w:rPr>
        <w:t>、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20"/>
          <w:lang w:eastAsia="zh-CN"/>
        </w:rPr>
        <w:t>社会保障局、</w:t>
      </w:r>
      <w:r>
        <w:rPr>
          <w:rFonts w:hint="eastAsia" w:eastAsia="方正仿宋_GBK" w:cs="方正仿宋_GBK"/>
          <w:color w:val="000000"/>
          <w:sz w:val="32"/>
          <w:szCs w:val="20"/>
          <w:lang w:eastAsia="zh-CN"/>
        </w:rPr>
        <w:t>教育局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20"/>
          <w:lang w:eastAsia="zh-CN"/>
        </w:rPr>
        <w:t>、国资监管机构，西部科学城重庆高新区党委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20"/>
        </w:rPr>
        <w:t>组织部</w:t>
      </w:r>
      <w:r>
        <w:rPr>
          <w:rFonts w:hint="eastAsia" w:eastAsia="方正仿宋_GBK" w:cs="方正仿宋_GBK"/>
          <w:color w:val="000000"/>
          <w:sz w:val="32"/>
          <w:szCs w:val="20"/>
          <w:lang w:eastAsia="zh-CN"/>
        </w:rPr>
        <w:t>、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20"/>
          <w:lang w:eastAsia="zh-CN"/>
        </w:rPr>
        <w:t>政务服务和社会事务中心、</w:t>
      </w:r>
      <w:r>
        <w:rPr>
          <w:rFonts w:hint="eastAsia" w:eastAsia="方正仿宋_GBK" w:cs="方正仿宋_GBK"/>
          <w:color w:val="000000"/>
          <w:sz w:val="32"/>
          <w:szCs w:val="20"/>
          <w:lang w:eastAsia="zh-CN"/>
        </w:rPr>
        <w:t>公共服务局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20"/>
          <w:lang w:eastAsia="zh-CN"/>
        </w:rPr>
        <w:t>、国资监管机构，万盛经开区党委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20"/>
        </w:rPr>
        <w:t>组织部</w:t>
      </w:r>
      <w:r>
        <w:rPr>
          <w:rFonts w:hint="eastAsia" w:eastAsia="方正仿宋_GBK" w:cs="方正仿宋_GBK"/>
          <w:color w:val="000000"/>
          <w:sz w:val="32"/>
          <w:szCs w:val="20"/>
          <w:lang w:eastAsia="zh-CN"/>
        </w:rPr>
        <w:t>、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20"/>
          <w:lang w:eastAsia="zh-CN"/>
        </w:rPr>
        <w:t>人力社保局、</w:t>
      </w:r>
      <w:r>
        <w:rPr>
          <w:rFonts w:hint="eastAsia" w:eastAsia="方正仿宋_GBK" w:cs="方正仿宋_GBK"/>
          <w:color w:val="000000"/>
          <w:sz w:val="32"/>
          <w:szCs w:val="20"/>
          <w:lang w:eastAsia="zh-CN"/>
        </w:rPr>
        <w:t>教育局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20"/>
          <w:lang w:eastAsia="zh-CN"/>
        </w:rPr>
        <w:t>、国资监管机构：</w:t>
      </w:r>
    </w:p>
    <w:p>
      <w:pPr>
        <w:pStyle w:val="000001"/>
        <w:spacing w:line="560" w:lineRule="exact"/>
        <w:ind w:firstLine="632" w:firstLineChars="200"/>
        <w:jc w:val="both"/>
        <w:rPr>
          <w:rFonts w:hint="eastAsia" w:ascii="Times New Roman" w:hAnsi="Times New Roman" w:eastAsia="方正仿宋_GBK" w:cs="方正仿宋_GBK"/>
          <w:color w:val="000000"/>
          <w:sz w:val="32"/>
          <w:szCs w:val="20"/>
          <w:lang w:eastAsia="zh-CN"/>
        </w:rPr>
      </w:pPr>
      <w:r>
        <w:rPr>
          <w:rFonts w:hint="eastAsia" w:ascii="Times New Roman" w:hAnsi="Times New Roman" w:eastAsia="方正仿宋_GBK" w:cs="方正仿宋_GBK"/>
          <w:color w:val="000000"/>
          <w:sz w:val="32"/>
          <w:szCs w:val="20"/>
          <w:lang w:eastAsia="zh-CN"/>
        </w:rPr>
        <w:t>为贯彻落实重庆市人民政府办公厅《关于印发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20"/>
          <w:lang w:val="en-US" w:eastAsia="zh-CN"/>
        </w:rPr>
        <w:t>〈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20"/>
          <w:lang w:val="en-US" w:eastAsia="zh-CN"/>
        </w:rPr>
        <w:t>百万高校毕业生等青年留渝来渝就业创业行动计划（2024—2027年）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20"/>
          <w:lang w:val="en-US" w:eastAsia="zh-CN"/>
        </w:rPr>
        <w:t>〉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20"/>
          <w:lang w:val="en-US" w:eastAsia="zh-CN"/>
        </w:rPr>
        <w:t>的通知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20"/>
          <w:lang w:eastAsia="zh-CN"/>
        </w:rPr>
        <w:t>》（渝府办发〔2024〕35号）工作要求，进一步做好高校毕业生等青年留渝来渝就业创业工作，经研究，现就高校毕业生参加我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20"/>
          <w:lang w:val="en-US" w:eastAsia="zh-CN"/>
        </w:rPr>
        <w:t>市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20"/>
          <w:lang w:eastAsia="zh-CN"/>
        </w:rPr>
        <w:t>招考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20"/>
          <w:lang w:val="en-US" w:eastAsia="zh-CN"/>
        </w:rPr>
        <w:t>（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20"/>
          <w:lang w:eastAsia="zh-CN"/>
        </w:rPr>
        <w:t>招聘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20"/>
          <w:lang w:val="en-US" w:eastAsia="zh-CN"/>
        </w:rPr>
        <w:t>）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20"/>
          <w:lang w:eastAsia="zh-CN"/>
        </w:rPr>
        <w:t>工作有关事项通知如下。</w:t>
      </w:r>
    </w:p>
    <w:p>
      <w:pPr>
        <w:pStyle w:val="000001"/>
        <w:spacing w:line="560" w:lineRule="exact"/>
        <w:ind w:firstLine="632" w:firstLineChars="200"/>
        <w:jc w:val="both"/>
        <w:rPr>
          <w:rFonts w:hint="eastAsia" w:ascii="Times New Roman" w:hAnsi="Times New Roman" w:eastAsia="方正仿宋_GBK" w:cs="方正仿宋_GBK"/>
          <w:color w:val="000000"/>
          <w:sz w:val="32"/>
          <w:szCs w:val="20"/>
          <w:lang w:eastAsia="zh-CN"/>
        </w:rPr>
      </w:pPr>
      <w:r>
        <w:rPr>
          <w:rFonts w:hint="eastAsia" w:eastAsia="方正仿宋_GBK" w:cs="方正仿宋_GBK"/>
          <w:color w:val="000000"/>
          <w:sz w:val="32"/>
          <w:szCs w:val="20"/>
          <w:lang w:eastAsia="zh-CN"/>
        </w:rPr>
        <w:t>一、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20"/>
          <w:lang w:eastAsia="zh-CN"/>
        </w:rPr>
        <w:t>国家统一招生的普通高校毕业生</w:t>
      </w:r>
      <w:r>
        <w:rPr>
          <w:rFonts w:hint="eastAsia" w:eastAsia="方正仿宋_GBK" w:cs="方正仿宋_GBK"/>
          <w:color w:val="000000"/>
          <w:sz w:val="32"/>
          <w:szCs w:val="20"/>
          <w:lang w:eastAsia="zh-CN"/>
        </w:rPr>
        <w:t>离校时和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20"/>
          <w:lang w:eastAsia="zh-CN"/>
        </w:rPr>
        <w:t>在择业期内（</w:t>
      </w:r>
      <w:r>
        <w:rPr>
          <w:rFonts w:hint="eastAsia" w:eastAsia="方正仿宋_GBK" w:cs="方正仿宋_GBK"/>
          <w:color w:val="000000"/>
          <w:sz w:val="32"/>
          <w:szCs w:val="20"/>
          <w:lang w:val="en-US" w:eastAsia="zh-CN"/>
        </w:rPr>
        <w:t>国家规定择业期为二年）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20"/>
          <w:lang w:eastAsia="zh-CN"/>
        </w:rPr>
        <w:t>未落实工作单位，其户口、档案、组织关系仍保留在原毕业学校，或者保留在各级毕业生就业主管部门（毕业生就业指导服务中心）、各级人才交流服务机构和各级公共就业服务机构的</w:t>
      </w:r>
      <w:r>
        <w:rPr>
          <w:rFonts w:hint="eastAsia" w:eastAsia="方正仿宋_GBK" w:cs="方正仿宋_GBK"/>
          <w:color w:val="000000"/>
          <w:sz w:val="32"/>
          <w:szCs w:val="20"/>
          <w:lang w:eastAsia="zh-CN"/>
        </w:rPr>
        <w:t>毕业生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20"/>
          <w:lang w:eastAsia="zh-CN"/>
        </w:rPr>
        <w:t>，</w:t>
      </w:r>
      <w:r>
        <w:rPr>
          <w:rFonts w:hint="eastAsia" w:eastAsia="方正仿宋_GBK" w:cs="方正仿宋_GBK"/>
          <w:color w:val="000000"/>
          <w:sz w:val="32"/>
          <w:szCs w:val="20"/>
          <w:lang w:eastAsia="zh-CN"/>
        </w:rPr>
        <w:t>在参加重庆市面向社会公开考试录用公务员时，可按应届高校毕业生对待。</w:t>
      </w:r>
    </w:p>
    <w:p>
      <w:pPr>
        <w:pStyle w:val="000001"/>
        <w:spacing w:line="560" w:lineRule="exact"/>
        <w:ind w:firstLine="632" w:firstLineChars="200"/>
        <w:jc w:val="both"/>
        <w:rPr>
          <w:rFonts w:hint="eastAsia" w:ascii="Times New Roman" w:hAnsi="Times New Roman" w:eastAsia="方正仿宋_GBK" w:cs="方正仿宋_GBK"/>
          <w:color w:val="000000"/>
          <w:sz w:val="32"/>
          <w:szCs w:val="20"/>
          <w:lang w:val="en-US" w:eastAsia="zh-CN"/>
        </w:rPr>
      </w:pPr>
      <w:r>
        <w:rPr>
          <w:rFonts w:hint="eastAsia" w:eastAsia="方正仿宋_GBK" w:cs="方正仿宋_GBK"/>
          <w:color w:val="000000"/>
          <w:sz w:val="32"/>
          <w:szCs w:val="20"/>
          <w:lang w:val="en-US" w:eastAsia="zh-CN"/>
        </w:rPr>
        <w:t>二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20"/>
          <w:lang w:val="en-US" w:eastAsia="zh-CN"/>
        </w:rPr>
        <w:t>、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20"/>
          <w:lang w:eastAsia="zh-CN"/>
        </w:rPr>
        <w:t>国家统一招生的普通高校毕业生</w:t>
      </w:r>
      <w:r>
        <w:rPr>
          <w:rFonts w:hint="eastAsia" w:eastAsia="方正仿宋_GBK" w:cs="方正仿宋_GBK"/>
          <w:color w:val="000000"/>
          <w:sz w:val="32"/>
          <w:szCs w:val="20"/>
          <w:lang w:eastAsia="zh-CN"/>
        </w:rPr>
        <w:t>离校时和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20"/>
          <w:lang w:eastAsia="zh-CN"/>
        </w:rPr>
        <w:t>在择业期内（</w:t>
      </w:r>
      <w:r>
        <w:rPr>
          <w:rFonts w:hint="eastAsia" w:eastAsia="方正仿宋_GBK" w:cs="方正仿宋_GBK"/>
          <w:color w:val="000000"/>
          <w:sz w:val="32"/>
          <w:szCs w:val="20"/>
          <w:lang w:val="en-US" w:eastAsia="zh-CN"/>
        </w:rPr>
        <w:t>国家规定择业期为二年）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20"/>
          <w:lang w:val="en-US" w:eastAsia="zh-CN"/>
        </w:rPr>
        <w:t>未曾被机关事业单位编制内岗位录取（聘用）过的</w:t>
      </w:r>
      <w:r>
        <w:rPr>
          <w:rFonts w:hint="eastAsia" w:eastAsia="方正仿宋_GBK" w:cs="方正仿宋_GBK"/>
          <w:color w:val="000000"/>
          <w:sz w:val="32"/>
          <w:szCs w:val="20"/>
          <w:lang w:eastAsia="zh-CN"/>
        </w:rPr>
        <w:t>毕业生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20"/>
          <w:lang w:val="en-US" w:eastAsia="zh-CN"/>
        </w:rPr>
        <w:t>，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20"/>
          <w:lang w:eastAsia="zh-CN"/>
        </w:rPr>
        <w:t>在报考重庆市事业单位时，可以报考面向应届高校毕业生招聘的岗位。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20"/>
          <w:lang w:val="en-US" w:eastAsia="zh-CN"/>
        </w:rPr>
        <w:t>其就业合同（协议）签订、工作经历、社保缴纳等情况不影响其报考。</w:t>
      </w:r>
    </w:p>
    <w:p>
      <w:pPr>
        <w:pStyle w:val="000001"/>
        <w:spacing w:line="560" w:lineRule="exact"/>
        <w:ind w:firstLine="632" w:firstLineChars="200"/>
        <w:jc w:val="both"/>
        <w:rPr>
          <w:rFonts w:hint="eastAsia" w:ascii="Times New Roman" w:hAnsi="Times New Roman" w:eastAsia="方正仿宋_GBK" w:cs="方正仿宋_GBK"/>
          <w:color w:val="000000"/>
          <w:sz w:val="32"/>
          <w:szCs w:val="20"/>
          <w:lang w:val="en-US" w:eastAsia="zh-CN"/>
        </w:rPr>
      </w:pPr>
      <w:r>
        <w:rPr>
          <w:rFonts w:hint="eastAsia" w:eastAsia="方正仿宋_GBK" w:cs="方正仿宋_GBK"/>
          <w:color w:val="000000"/>
          <w:sz w:val="32"/>
          <w:szCs w:val="20"/>
          <w:lang w:val="en-US" w:eastAsia="zh-CN"/>
        </w:rPr>
        <w:t>三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20"/>
          <w:lang w:val="en-US" w:eastAsia="zh-CN"/>
        </w:rPr>
        <w:t>、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20"/>
          <w:lang w:eastAsia="zh-CN"/>
        </w:rPr>
        <w:t>国家统一招生的普通高校毕业生</w:t>
      </w:r>
      <w:r>
        <w:rPr>
          <w:rFonts w:hint="eastAsia" w:eastAsia="方正仿宋_GBK" w:cs="方正仿宋_GBK"/>
          <w:color w:val="000000"/>
          <w:sz w:val="32"/>
          <w:szCs w:val="20"/>
          <w:lang w:eastAsia="zh-CN"/>
        </w:rPr>
        <w:t>离校时和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20"/>
          <w:lang w:eastAsia="zh-CN"/>
        </w:rPr>
        <w:t>在择业期内（</w:t>
      </w:r>
      <w:r>
        <w:rPr>
          <w:rFonts w:hint="eastAsia" w:eastAsia="方正仿宋_GBK" w:cs="方正仿宋_GBK"/>
          <w:color w:val="000000"/>
          <w:sz w:val="32"/>
          <w:szCs w:val="20"/>
          <w:lang w:val="en-US" w:eastAsia="zh-CN"/>
        </w:rPr>
        <w:t>国家规定择业期为二年）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20"/>
          <w:lang w:val="en-US" w:eastAsia="zh-CN"/>
        </w:rPr>
        <w:t>未曾被机关事业单位、国有企业编制内岗位录取（聘用）过的</w:t>
      </w:r>
      <w:r>
        <w:rPr>
          <w:rFonts w:hint="eastAsia" w:eastAsia="方正仿宋_GBK" w:cs="方正仿宋_GBK"/>
          <w:color w:val="000000"/>
          <w:sz w:val="32"/>
          <w:szCs w:val="20"/>
          <w:lang w:val="en-US" w:eastAsia="zh-CN"/>
        </w:rPr>
        <w:t>毕业生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20"/>
          <w:lang w:val="en-US" w:eastAsia="zh-CN"/>
        </w:rPr>
        <w:t>，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20"/>
          <w:lang w:eastAsia="zh-CN"/>
        </w:rPr>
        <w:t>在参加重庆市国有企业招聘时，可以报考面向应届高校毕业生招聘的岗位。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20"/>
          <w:lang w:val="en-US" w:eastAsia="zh-CN"/>
        </w:rPr>
        <w:t>其就业合同（协议）签订、工作经历、社保缴纳等情况不影响其报考。</w:t>
      </w:r>
    </w:p>
    <w:p>
      <w:pPr>
        <w:pStyle w:val="000001"/>
        <w:spacing w:line="560" w:lineRule="exact"/>
        <w:ind w:firstLine="632" w:firstLineChars="200"/>
        <w:jc w:val="both"/>
        <w:rPr>
          <w:rFonts w:hint="eastAsia" w:ascii="Times New Roman" w:hAnsi="Times New Roman" w:eastAsia="方正仿宋_GBK" w:cs="方正仿宋_GBK"/>
          <w:color w:val="000000"/>
          <w:sz w:val="32"/>
          <w:szCs w:val="20"/>
          <w:lang w:val="en-US" w:eastAsia="zh-CN"/>
        </w:rPr>
      </w:pPr>
      <w:r>
        <w:rPr>
          <w:rFonts w:hint="eastAsia" w:eastAsia="方正仿宋_GBK" w:cs="方正仿宋_GBK"/>
          <w:color w:val="000000"/>
          <w:sz w:val="32"/>
          <w:szCs w:val="20"/>
          <w:lang w:val="en-US" w:eastAsia="zh-CN"/>
        </w:rPr>
        <w:t>四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20"/>
          <w:lang w:val="en-US" w:eastAsia="zh-CN"/>
        </w:rPr>
        <w:t>、本通知自印发之日起实施。国家出台新规定的，从其规定。</w:t>
      </w:r>
    </w:p>
    <w:p>
      <w:pPr>
        <w:pStyle w:val="000001"/>
        <w:spacing w:line="560" w:lineRule="exact"/>
        <w:ind w:firstLine="632" w:firstLineChars="200"/>
        <w:jc w:val="both"/>
        <w:rPr>
          <w:rFonts w:hint="eastAsia" w:ascii="Times New Roman" w:hAnsi="Times New Roman" w:eastAsia="方正仿宋_GBK" w:cs="方正仿宋_GBK"/>
          <w:color w:val="000000"/>
          <w:sz w:val="32"/>
          <w:szCs w:val="20"/>
        </w:rPr>
      </w:pPr>
    </w:p>
    <w:p>
      <w:pPr>
        <w:pStyle w:val="000001"/>
        <w:spacing w:line="560" w:lineRule="exact"/>
        <w:ind w:firstLine="0" w:firstLineChars="0"/>
        <w:jc w:val="both"/>
        <w:rPr>
          <w:rFonts w:hint="eastAsia" w:ascii="Times New Roman" w:hAnsi="Times New Roman" w:eastAsia="方正仿宋_GBK" w:cs="方正仿宋_GBK"/>
          <w:color w:val="000000"/>
          <w:sz w:val="32"/>
          <w:szCs w:val="20"/>
        </w:rPr>
      </w:pPr>
    </w:p>
    <w:p>
      <w:pPr>
        <w:pStyle w:val="000001"/>
        <w:spacing w:line="560" w:lineRule="exact"/>
        <w:ind w:firstLine="0" w:firstLineChars="0"/>
        <w:jc w:val="center"/>
        <w:rPr>
          <w:rFonts w:hint="eastAsia" w:ascii="Times New Roman" w:hAnsi="Times New Roman" w:eastAsia="方正仿宋_GBK" w:cs="方正仿宋_GBK"/>
          <w:color w:val="000000"/>
          <w:sz w:val="32"/>
          <w:szCs w:val="20"/>
        </w:rPr>
      </w:pPr>
      <w:r>
        <w:rPr>
          <w:rFonts w:hint="eastAsia" w:ascii="Times New Roman" w:hAnsi="Times New Roman" w:eastAsia="方正仿宋_GBK" w:cs="方正仿宋_GBK"/>
          <w:color w:val="000000"/>
          <w:sz w:val="32"/>
          <w:szCs w:val="20"/>
        </w:rPr>
        <w:t>中共重庆市委组织部          重庆市人力资源和社会保障局</w:t>
      </w:r>
    </w:p>
    <w:p>
      <w:pPr>
        <w:pStyle w:val="000001"/>
        <w:spacing w:line="560" w:lineRule="exact"/>
        <w:ind w:firstLine="0" w:firstLineChars="0"/>
        <w:jc w:val="both"/>
        <w:rPr>
          <w:rFonts w:hint="eastAsia" w:ascii="Times New Roman" w:hAnsi="Times New Roman" w:eastAsia="方正仿宋_GBK" w:cs="方正仿宋_GBK"/>
          <w:color w:val="000000"/>
          <w:sz w:val="32"/>
          <w:szCs w:val="20"/>
        </w:rPr>
      </w:pPr>
    </w:p>
    <w:p>
      <w:pPr>
        <w:pStyle w:val="000001"/>
        <w:spacing w:line="560" w:lineRule="exact"/>
        <w:ind w:firstLine="0" w:firstLineChars="0"/>
        <w:jc w:val="center"/>
        <w:rPr>
          <w:rFonts w:hint="eastAsia" w:ascii="Times New Roman" w:hAnsi="Times New Roman" w:eastAsia="方正仿宋_GBK" w:cs="方正仿宋_GBK"/>
          <w:color w:val="000000"/>
          <w:sz w:val="32"/>
          <w:szCs w:val="20"/>
        </w:rPr>
      </w:pPr>
      <w:r>
        <w:rPr>
          <w:rFonts w:hint="eastAsia" w:ascii="Times New Roman" w:hAnsi="Times New Roman" w:eastAsia="方正仿宋_GBK" w:cs="方正仿宋_GBK"/>
          <w:color w:val="000000"/>
          <w:sz w:val="32"/>
          <w:szCs w:val="20"/>
        </w:rPr>
        <w:t>重庆市教育委员会          重庆市国有资产监督管理委员会</w:t>
      </w:r>
    </w:p>
    <w:p>
      <w:pPr>
        <w:pStyle w:val="000001"/>
        <w:spacing w:line="560" w:lineRule="exact"/>
        <w:ind w:firstLine="632" w:firstLineChars="200"/>
        <w:jc w:val="both"/>
        <w:rPr>
          <w:rFonts w:hint="eastAsia" w:ascii="Times New Roman" w:hAnsi="Times New Roman" w:eastAsia="方正仿宋_GBK" w:cs="方正仿宋_GBK"/>
          <w:color w:val="000000"/>
          <w:sz w:val="32"/>
          <w:szCs w:val="20"/>
        </w:rPr>
      </w:pPr>
      <w:r>
        <w:rPr>
          <w:rFonts w:hint="eastAsia" w:ascii="Times New Roman" w:hAnsi="Times New Roman" w:eastAsia="方正仿宋_GBK" w:cs="方正仿宋_GBK"/>
          <w:color w:val="000000"/>
          <w:sz w:val="32"/>
          <w:szCs w:val="20"/>
        </w:rPr>
        <w:t xml:space="preserve">                               202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20"/>
          <w:lang w:val="en-US" w:eastAsia="zh-CN"/>
        </w:rPr>
        <w:t>5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20"/>
        </w:rPr>
        <w:t>年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20"/>
          <w:lang w:val="en-US" w:eastAsia="zh-CN"/>
        </w:rPr>
        <w:t>3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20"/>
        </w:rPr>
        <w:t>月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20"/>
          <w:lang w:val="en-US" w:eastAsia="zh-CN"/>
        </w:rPr>
        <w:t>24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20"/>
        </w:rPr>
        <w:t>日</w:t>
      </w:r>
    </w:p>
    <w:p>
      <w:pPr>
        <w:pStyle w:val="000001"/>
        <w:spacing w:line="560" w:lineRule="exact"/>
        <w:ind w:firstLine="632" w:firstLineChars="200"/>
        <w:jc w:val="both"/>
        <w:rPr>
          <w:rFonts w:hint="eastAsia" w:ascii="Times New Roman" w:hAnsi="Times New Roman" w:eastAsia="方正仿宋_GBK" w:cs="方正仿宋_GBK"/>
          <w:color w:val="000000"/>
          <w:sz w:val="32"/>
          <w:szCs w:val="20"/>
          <w:lang w:eastAsia="zh-CN"/>
        </w:rPr>
      </w:pPr>
      <w:r>
        <w:rPr>
          <w:rFonts w:hint="eastAsia" w:eastAsia="方正仿宋_GBK" w:cs="方正仿宋_GBK"/>
          <w:color w:val="000000"/>
          <w:sz w:val="32"/>
          <w:szCs w:val="20"/>
          <w:lang w:eastAsia="zh-CN"/>
        </w:rPr>
        <w:t>（此件公开发布）</w:t>
      </w:r>
    </w:p>
    <w:p>
      <w:pPr>
        <w:pStyle w:val="000001"/>
        <w:spacing w:line="560" w:lineRule="exact"/>
        <w:ind w:firstLine="632" w:firstLineChars="200"/>
        <w:jc w:val="both"/>
        <w:rPr>
          <w:rFonts w:hint="eastAsia" w:ascii="Times New Roman" w:hAnsi="Times New Roman" w:eastAsia="方正仿宋_GBK" w:cs="方正仿宋_GBK"/>
          <w:color w:val="000000"/>
          <w:sz w:val="32"/>
          <w:szCs w:val="20"/>
          <w:lang w:eastAsia="zh-CN"/>
        </w:rPr>
      </w:pPr>
      <w:r>
        <w:rPr>
          <w:rFonts w:hint="eastAsia" w:ascii="Times New Roman" w:hAnsi="Times New Roman" w:eastAsia="方正仿宋_GBK" w:cs="方正仿宋_GBK"/>
          <w:color w:val="000000"/>
          <w:sz w:val="32"/>
          <w:szCs w:val="20"/>
          <w:lang w:eastAsia="zh-CN"/>
        </w:rPr>
        <w:br w:type="page"/>
      </w:r>
    </w:p>
    <w:p>
      <w:pPr>
        <w:pStyle w:val="000001"/>
        <w:spacing w:line="560" w:lineRule="exact"/>
        <w:ind w:firstLine="632" w:firstLineChars="200"/>
        <w:jc w:val="both"/>
        <w:rPr>
          <w:rFonts w:hint="eastAsia" w:eastAsia="方正仿宋_GBK" w:cs="方正仿宋_GBK"/>
          <w:color w:val="000000"/>
          <w:sz w:val="32"/>
          <w:szCs w:val="20"/>
          <w:lang w:eastAsia="zh-CN"/>
        </w:rPr>
      </w:pPr>
    </w:p>
    <w:p>
      <w:pPr>
        <w:pStyle w:val="000001"/>
        <w:spacing w:line="560" w:lineRule="exact"/>
        <w:ind w:firstLine="632" w:firstLineChars="200"/>
        <w:jc w:val="both"/>
        <w:rPr>
          <w:rFonts w:hint="eastAsia" w:ascii="Times New Roman" w:hAnsi="Times New Roman" w:eastAsia="方正仿宋_GBK" w:cs="方正仿宋_GBK"/>
          <w:color w:val="000000"/>
          <w:sz w:val="32"/>
          <w:szCs w:val="20"/>
          <w:lang w:val="en-US" w:eastAsia="zh-CN"/>
        </w:rPr>
      </w:pPr>
    </w:p>
    <w:p>
      <w:pPr>
        <w:pStyle w:val="000001"/>
        <w:spacing w:line="560" w:lineRule="exact"/>
        <w:ind w:firstLine="632" w:firstLineChars="200"/>
        <w:jc w:val="both"/>
        <w:rPr>
          <w:rFonts w:hint="eastAsia" w:ascii="Times New Roman" w:hAnsi="Times New Roman" w:eastAsia="方正仿宋_GBK" w:cs="方正仿宋_GBK"/>
          <w:color w:val="000000"/>
          <w:sz w:val="32"/>
          <w:szCs w:val="20"/>
          <w:lang w:val="en-US" w:eastAsia="zh-CN"/>
        </w:rPr>
      </w:pPr>
    </w:p>
    <w:p>
      <w:pPr>
        <w:pStyle w:val="000001"/>
        <w:spacing w:line="560" w:lineRule="exact"/>
        <w:ind w:firstLine="632" w:firstLineChars="200"/>
        <w:jc w:val="both"/>
        <w:rPr>
          <w:rFonts w:hint="eastAsia" w:ascii="Times New Roman" w:hAnsi="Times New Roman" w:eastAsia="方正仿宋_GBK" w:cs="方正仿宋_GBK"/>
          <w:color w:val="000000"/>
          <w:sz w:val="32"/>
          <w:szCs w:val="20"/>
          <w:lang w:val="en-US" w:eastAsia="zh-CN"/>
        </w:rPr>
      </w:pPr>
    </w:p>
    <w:p>
      <w:pPr>
        <w:pStyle w:val="000001"/>
        <w:spacing w:line="560" w:lineRule="exact"/>
        <w:ind w:firstLine="632" w:firstLineChars="200"/>
        <w:jc w:val="both"/>
        <w:rPr>
          <w:rFonts w:hint="eastAsia" w:ascii="Times New Roman" w:hAnsi="Times New Roman" w:eastAsia="方正仿宋_GBK" w:cs="方正仿宋_GBK"/>
          <w:color w:val="000000"/>
          <w:sz w:val="32"/>
          <w:szCs w:val="20"/>
          <w:lang w:val="en-US" w:eastAsia="zh-CN"/>
        </w:rPr>
      </w:pPr>
    </w:p>
    <w:p>
      <w:pPr>
        <w:pStyle w:val="000001"/>
        <w:spacing w:line="560" w:lineRule="exact"/>
        <w:ind w:firstLine="632" w:firstLineChars="200"/>
        <w:jc w:val="both"/>
        <w:rPr>
          <w:rFonts w:hint="eastAsia" w:ascii="Times New Roman" w:hAnsi="Times New Roman" w:eastAsia="方正仿宋_GBK" w:cs="方正仿宋_GBK"/>
          <w:color w:val="000000"/>
          <w:sz w:val="32"/>
          <w:szCs w:val="20"/>
          <w:lang w:val="en-US" w:eastAsia="zh-CN"/>
        </w:rPr>
      </w:pPr>
    </w:p>
    <w:p>
      <w:pPr>
        <w:pStyle w:val="000001"/>
        <w:spacing w:line="560" w:lineRule="exact"/>
        <w:ind w:firstLine="632" w:firstLineChars="200"/>
        <w:jc w:val="both"/>
        <w:rPr>
          <w:rFonts w:hint="eastAsia" w:ascii="Times New Roman" w:hAnsi="Times New Roman" w:eastAsia="方正仿宋_GBK" w:cs="方正仿宋_GBK"/>
          <w:color w:val="000000"/>
          <w:sz w:val="32"/>
          <w:szCs w:val="20"/>
          <w:lang w:val="en-US" w:eastAsia="zh-CN"/>
        </w:rPr>
      </w:pPr>
    </w:p>
    <w:p>
      <w:pPr>
        <w:pStyle w:val="000001"/>
        <w:spacing w:line="560" w:lineRule="exact"/>
        <w:ind w:firstLine="632" w:firstLineChars="200"/>
        <w:jc w:val="both"/>
        <w:rPr>
          <w:rFonts w:hint="eastAsia" w:ascii="Times New Roman" w:hAnsi="Times New Roman" w:eastAsia="方正仿宋_GBK" w:cs="方正仿宋_GBK"/>
          <w:color w:val="000000"/>
          <w:sz w:val="32"/>
          <w:szCs w:val="20"/>
          <w:lang w:val="en-US" w:eastAsia="zh-CN"/>
        </w:rPr>
      </w:pPr>
    </w:p>
    <w:p>
      <w:pPr>
        <w:pStyle w:val="000001"/>
        <w:spacing w:line="560" w:lineRule="exact"/>
        <w:ind w:firstLine="632" w:firstLineChars="200"/>
        <w:jc w:val="both"/>
        <w:rPr>
          <w:rFonts w:hint="eastAsia" w:ascii="Times New Roman" w:hAnsi="Times New Roman" w:eastAsia="方正仿宋_GBK" w:cs="方正仿宋_GBK"/>
          <w:color w:val="000000"/>
          <w:sz w:val="32"/>
          <w:szCs w:val="20"/>
          <w:lang w:val="en-US" w:eastAsia="zh-CN"/>
        </w:rPr>
      </w:pPr>
    </w:p>
    <w:p>
      <w:pPr>
        <w:pStyle w:val="000001"/>
        <w:spacing w:line="560" w:lineRule="exact"/>
        <w:ind w:firstLine="632" w:firstLineChars="200"/>
        <w:jc w:val="both"/>
        <w:rPr>
          <w:rFonts w:hint="eastAsia" w:ascii="Times New Roman" w:hAnsi="Times New Roman" w:eastAsia="方正仿宋_GBK" w:cs="方正仿宋_GBK"/>
          <w:color w:val="000000"/>
          <w:sz w:val="32"/>
          <w:szCs w:val="20"/>
          <w:lang w:val="en-US" w:eastAsia="zh-CN"/>
        </w:rPr>
      </w:pPr>
    </w:p>
    <w:p>
      <w:pPr>
        <w:pStyle w:val="000001"/>
        <w:spacing w:line="560" w:lineRule="exact"/>
        <w:ind w:firstLine="632" w:firstLineChars="200"/>
        <w:jc w:val="both"/>
        <w:rPr>
          <w:rFonts w:hint="eastAsia" w:ascii="Times New Roman" w:hAnsi="Times New Roman" w:eastAsia="方正仿宋_GBK" w:cs="方正仿宋_GBK"/>
          <w:color w:val="000000"/>
          <w:sz w:val="32"/>
          <w:szCs w:val="20"/>
          <w:lang w:val="en-US" w:eastAsia="zh-CN"/>
        </w:rPr>
      </w:pPr>
    </w:p>
    <w:p>
      <w:pPr>
        <w:pStyle w:val="000001"/>
        <w:spacing w:line="560" w:lineRule="exact"/>
        <w:ind w:firstLine="632" w:firstLineChars="200"/>
        <w:jc w:val="both"/>
        <w:rPr>
          <w:rFonts w:hint="eastAsia" w:ascii="Times New Roman" w:hAnsi="Times New Roman" w:eastAsia="方正仿宋_GBK" w:cs="方正仿宋_GBK"/>
          <w:color w:val="000000"/>
          <w:sz w:val="32"/>
          <w:szCs w:val="20"/>
          <w:lang w:val="en-US" w:eastAsia="zh-CN"/>
        </w:rPr>
      </w:pPr>
    </w:p>
    <w:p>
      <w:pPr>
        <w:pStyle w:val="000001"/>
        <w:spacing w:line="560" w:lineRule="exact"/>
        <w:ind w:firstLine="632" w:firstLineChars="200"/>
        <w:jc w:val="both"/>
        <w:rPr>
          <w:rFonts w:hint="eastAsia" w:ascii="Times New Roman" w:hAnsi="Times New Roman" w:eastAsia="方正仿宋_GBK" w:cs="方正仿宋_GBK"/>
          <w:color w:val="000000"/>
          <w:sz w:val="32"/>
          <w:szCs w:val="20"/>
          <w:lang w:val="en-US" w:eastAsia="zh-CN"/>
        </w:rPr>
      </w:pPr>
    </w:p>
    <w:p>
      <w:pPr>
        <w:pStyle w:val="000001"/>
        <w:spacing w:line="560" w:lineRule="exact"/>
        <w:ind w:firstLine="632" w:firstLineChars="200"/>
        <w:jc w:val="both"/>
        <w:rPr>
          <w:rFonts w:hint="eastAsia" w:ascii="Times New Roman" w:hAnsi="Times New Roman" w:eastAsia="方正仿宋_GBK" w:cs="方正仿宋_GBK"/>
          <w:color w:val="000000"/>
          <w:sz w:val="32"/>
          <w:szCs w:val="20"/>
          <w:lang w:val="en-US" w:eastAsia="zh-CN"/>
        </w:rPr>
      </w:pPr>
    </w:p>
    <w:p>
      <w:pPr>
        <w:pStyle w:val="000001"/>
        <w:spacing w:line="560" w:lineRule="exact"/>
        <w:ind w:firstLine="632" w:firstLineChars="200"/>
        <w:jc w:val="both"/>
        <w:rPr>
          <w:rFonts w:hint="eastAsia" w:ascii="Times New Roman" w:hAnsi="Times New Roman" w:eastAsia="方正仿宋_GBK" w:cs="方正仿宋_GBK"/>
          <w:color w:val="000000"/>
          <w:sz w:val="32"/>
          <w:szCs w:val="20"/>
          <w:lang w:val="en-US" w:eastAsia="zh-CN"/>
        </w:rPr>
      </w:pPr>
    </w:p>
    <w:p>
      <w:pPr>
        <w:pStyle w:val="000001"/>
        <w:spacing w:line="560" w:lineRule="exact"/>
        <w:ind w:firstLine="632" w:firstLineChars="200"/>
        <w:jc w:val="both"/>
        <w:rPr>
          <w:rFonts w:hint="eastAsia" w:ascii="Times New Roman" w:hAnsi="Times New Roman" w:eastAsia="方正仿宋_GBK" w:cs="方正仿宋_GBK"/>
          <w:color w:val="000000"/>
          <w:sz w:val="32"/>
          <w:szCs w:val="20"/>
          <w:lang w:val="en-US" w:eastAsia="zh-CN"/>
        </w:rPr>
      </w:pPr>
    </w:p>
    <w:p>
      <w:pPr>
        <w:pStyle w:val="000001"/>
        <w:spacing w:line="560" w:lineRule="exact"/>
        <w:ind w:firstLine="632" w:firstLineChars="200"/>
        <w:jc w:val="both"/>
        <w:rPr>
          <w:rFonts w:hint="eastAsia" w:ascii="Times New Roman" w:hAnsi="Times New Roman" w:eastAsia="方正仿宋_GBK" w:cs="方正仿宋_GBK"/>
          <w:color w:val="000000"/>
          <w:sz w:val="32"/>
          <w:szCs w:val="20"/>
          <w:lang w:val="en-US" w:eastAsia="zh-CN"/>
        </w:rPr>
      </w:pPr>
    </w:p>
    <w:p>
      <w:pPr>
        <w:pStyle w:val="000001"/>
        <w:spacing w:line="560" w:lineRule="exact"/>
        <w:ind w:firstLine="632" w:firstLineChars="200"/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</w:pPr>
    </w:p>
    <w:p>
      <w:pPr>
        <w:pStyle w:val="000001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spacing w:line="560" w:lineRule="exact"/>
        <w:ind w:left="0" w:leftChars="0" w:right="0" w:firstLine="632" w:firstLineChars="200"/>
        <w:jc w:val="both"/>
        <w:rPr>
          <w:rFonts w:hint="eastAsia" w:eastAsia="方正仿宋_GBK" w:cs="方正仿宋_GBK"/>
          <w:color w:val="000000"/>
          <w:sz w:val="32"/>
          <w:lang w:val="en-US" w:eastAsia="zh-CN"/>
        </w:rPr>
      </w:pPr>
    </w:p>
    <w:tbl>
      <w:tblPr>
        <w:tblW w:w="0" w:type="auto"/>
        <w:tblInd w:w="0" w:type="dxa"/>
        <w:tblBorders>
          <w:bottom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3"/>
        <w:gridCol w:w="3717"/>
      </w:tblGrid>
      <w:tr>
        <w:trPr>
          <w:wBefore/>
          <w:trHeight w:val="615" w:hRule="atLeast"/>
        </w:trPr>
        <w:tc>
          <w:tcPr>
            <w:tcW w:w="8820" w:type="dxa"/>
            <w:gridSpan w:val="2"/>
            <w:textDirection w:val="lrTb"/>
            <w:vAlign w:val="center"/>
          </w:tcPr>
          <w:p>
            <w:pPr>
              <w:pStyle w:val="000001"/>
              <w:keepNext w:val="false"/>
              <w:keepLines w:val="false"/>
              <w:pageBreakBefore w:val="false"/>
              <w:widowControl w:val="false"/>
              <w:kinsoku/>
              <w:wordWrap/>
              <w:overflowPunct/>
              <w:topLinePunct w:val="false"/>
              <w:autoSpaceDE/>
              <w:autoSpaceDN/>
              <w:bidi w:val="false"/>
              <w:ind w:left="0" w:leftChars="0"/>
              <w:rPr>
                <w:rFonts w:hint="eastAsia"/>
              </w:rPr>
            </w:pPr>
          </w:p>
        </w:tc>
      </w:tr>
      <w:tr>
        <w:trPr>
          <w:wBefore/>
          <w:trHeight w:val="591" w:hRule="atLeast"/>
        </w:trPr>
        <w:tc>
          <w:tcPr>
            <w:tcW w:w="5103" w:type="dxa"/>
            <w:tcBorders>
              <w:right w:val="nil"/>
            </w:tcBorders>
            <w:textDirection w:val="lrTb"/>
            <w:vAlign w:val="center"/>
          </w:tcPr>
          <w:p>
            <w:pPr>
              <w:pStyle w:val="000001"/>
              <w:keepNext w:val="false"/>
              <w:keepLines w:val="false"/>
              <w:pageBreakBefore w:val="false"/>
              <w:widowControl w:val="false"/>
              <w:kinsoku/>
              <w:wordWrap/>
              <w:overflowPunct/>
              <w:topLinePunct w:val="false"/>
              <w:autoSpaceDE/>
              <w:autoSpaceDN/>
              <w:bidi w:val="false"/>
              <w:ind w:left="0" w:leftChars="0" w:firstLine="236" w:firstLineChars="100"/>
              <w:rPr>
                <w:rFonts w:hint="eastAsia" w:ascii="Times New Roman" w:hAnsi="Times New Roman" w:eastAsia="方正仿宋_GBK" w:cs="方正仿宋_GBK"/>
                <w:spacing w:val="-2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pacing w:val="-20"/>
                <w:sz w:val="28"/>
                <w:szCs w:val="28"/>
              </w:rPr>
              <w:t>重庆市人力资源和社会保障局办公室</w:t>
            </w:r>
          </w:p>
        </w:tc>
        <w:tc>
          <w:tcPr>
            <w:tcW w:w="3717" w:type="dxa"/>
            <w:tcBorders>
              <w:top w:val="single" w:color="auto" w:sz="4" w:space="0"/>
              <w:left w:val="nil"/>
            </w:tcBorders>
            <w:textDirection w:val="lrTb"/>
            <w:vAlign w:val="center"/>
          </w:tcPr>
          <w:p>
            <w:pPr>
              <w:pStyle w:val="000001"/>
              <w:keepNext w:val="false"/>
              <w:keepLines w:val="false"/>
              <w:pageBreakBefore w:val="false"/>
              <w:widowControl w:val="false"/>
              <w:kinsoku/>
              <w:wordWrap/>
              <w:overflowPunct/>
              <w:topLinePunct w:val="false"/>
              <w:autoSpaceDE/>
              <w:autoSpaceDN/>
              <w:bidi w:val="false"/>
              <w:ind w:left="0" w:leftChars="0" w:right="158" w:rightChars="50"/>
              <w:jc w:val="right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eastAsia="方正仿宋_GBK" w:cs="Times New Roman"/>
                <w:sz w:val="28"/>
                <w:szCs w:val="28"/>
                <w:lang w:eastAsia="zh-CN"/>
              </w:rPr>
              <w:t>2025年3月28日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印发</w:t>
            </w:r>
          </w:p>
        </w:tc>
      </w:tr>
    </w:tbl>
    <w:sectPr>
      <w:headerReference r:id="rId4" w:type="default"/>
      <w:footerReference r:id="rId5" w:type="even"/>
      <w:footerReference r:id="rId6" w:type="default"/>
      <w:type w:val="nextPage"/>
      <w:pgSz w:w="11906" w:h="16838"/>
      <w:pgMar w:top="2098" w:right="1474" w:bottom="1985" w:left="1588" w:header="1701" w:footer="1134" w:gutter="0"/>
      <w:pgNumType/>
      <w:cols/>
      <w:docGrid w:type="linesAndChars" w:linePitch="579" w:charSpace="-849"/>
    </w:sectPr>
  </w:body>
</w:document>
</file>

<file path=word/fontTable.xml><?xml version="1.0" encoding="utf-8"?>
<w:fonts xmlns:w="http://schemas.openxmlformats.org/wordprocessingml/2006/main">
  <w:font w:name="方正仿宋简体">
    <w:altName w:val="方正仿宋_GBK"/>
    <w:panose1 w:val="03000509000000000000"/>
    <w:charset w:val="86" w:characterSet="ISO-8859-1"/>
    <w:family w:val="auto"/>
    <w:pitch w:val="default"/>
    <w:sig w:usb0="00000000" w:usb1="00000000" w:usb2="00000000" w:usb3="00000000" w:csb0="00040000" w:csb1="00000000"/>
  </w:font>
  <w:font w:name="Times New Roman">
    <w:panose1 w:val="02020603050405020304"/>
    <w:charset w:val="7a" w:characterSet="ISO-8859-1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86" w:characterSet="ISO-8859-1"/>
    <w:family w:val="auto"/>
    <w:pitch w:val="default"/>
    <w:sig w:usb0="00000000" w:usb1="00000000" w:usb2="00000000" w:usb3="00000000" w:csb0="00000000" w:csb1="00000000"/>
  </w:font>
  <w:font w:name="仿宋_GB2312">
    <w:altName w:val="方正仿宋_GBK"/>
    <w:panose1 w:val="02010609030101010101"/>
    <w:charset w:val="86" w:characterSet="ISO-8859-1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 w:characterSet="ISO-8859-1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 w:characterSet="ISO-8859-1"/>
    <w:family w:val="script"/>
    <w:pitch w:val="default"/>
    <w:sig w:usb0="00000001" w:usb1="08000000" w:usb2="00000000" w:usb3="00000000" w:csb0="00040000" w:csb1="00000000"/>
  </w:font>
</w:fonts>
</file>

<file path=word/footer1.xml><?xml version="1.0" encoding="utf-8"?>
<w:ftr xmlns:v="urn:schemas-microsoft-com:vml" xmlns:w="http://schemas.openxmlformats.org/wordprocessingml/2006/main" xmlns:o="urn:schemas-microsoft-com:office:office">
  <w:p>
    <w:pPr>
      <w:pStyle w:val="000005"/>
      <w:tabs>
        <w:tab w:val="clear" w:pos="4153"/>
        <w:tab w:val="clear" w:pos="8306"/>
      </w:tabs>
      <w:ind w:firstLine="315"/>
      <w:rPr>
        <w:sz w:val="28"/>
      </w:rPr>
    </w:pPr>
    <w:r>
      <w:rPr>
        <w:sz w:val="28"/>
      </w:rPr>
      <w:pict>
        <v:shapetype id="_x0000_t202" coordsize="21600,21600" o:spt="202" path="m,l,21600r21600,l21600,xe">
          <v:stroke joinstyle="miter"/>
          <v:path gradientshapeok="t" o:extrusionok="f"/>
          <o:lock v:ext="edit" aspectratio="t"/>
        </v:shapetype>
        <v:shape id="00000b" style="position:absolute;mso-wrap-style:none;mso-position-horizontal-relative:margin;mso-position-vertical-relative:text;z-index:524289;mso-position-horizontal:outside;margin-left:0pt;margin-top:0pt;width:144pt;height:144pt;" filled="f" stroked="f" strokeweight="0.5pt" type="#_x0000_t202">
          <v:textbox style="mso-fit-shape-to-text:t;" inset="0pt,0pt,0pt,0pt">
            <w:txbxContent>
              <w:p>
                <w:pPr>
                  <w:pStyle w:val="000005"/>
                  <w:tabs>
                    <w:tab w:val="clear" w:pos="4153"/>
                    <w:tab w:val="clear" w:pos="8306"/>
                  </w:tabs>
                  <w:ind/>
                  <w:rPr>
                    <w:rFonts w:hint="eastAsia" w:eastAsia="仿宋_GB2312"/>
                    <w:lang w:eastAsia="zh-CN"/>
                  </w:rPr>
                </w:pPr>
                <w:r>
                  <w:rPr>
                    <w:rFonts w:hint="eastAsia" w:ascii="宋体" w:hAnsi="宋体" w:eastAsia="宋体" w:cs="宋体"/>
                    <w:sz w:val="28"/>
                    <w:szCs w:val="28"/>
                    <w:lang w:eastAsia="zh-CN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  <w:lang w:eastAsia="zh-CN"/>
                  </w:rPr>
                  <w:fldChar w:fldCharType="separate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  <w:lang w:eastAsia="zh-CN"/>
                  </w:rPr>
                  <w:t>2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  <w:lang w:eastAsia="zh-CN"/>
                  </w:rPr>
                  <w:fldChar w:fldCharType="end"/>
                </w:r>
              </w:p>
              <w:p>
                <w:pPr>
                  <w:pStyle w:val="000001"/>
                  <w:ind/>
                  <w:rPr/>
                </w:pPr>
              </w:p>
            </w:txbxContent>
          </v:textbox>
        </v:shape>
      </w:pict>
    </w:r>
  </w:p>
</w:ftr>
</file>

<file path=word/footer2.xml><?xml version="1.0" encoding="utf-8"?>
<w:ftr xmlns:v="urn:schemas-microsoft-com:vml" xmlns:w="http://schemas.openxmlformats.org/wordprocessingml/2006/main" xmlns:o="urn:schemas-microsoft-com:office:office">
  <w:p>
    <w:pPr>
      <w:pStyle w:val="000005"/>
      <w:tabs>
        <w:tab w:val="clear" w:pos="4153"/>
        <w:tab w:val="clear" w:pos="8306"/>
      </w:tabs>
      <w:ind w:right="339"/>
      <w:jc w:val="right"/>
      <w:rPr>
        <w:rFonts w:hint="eastAsia"/>
        <w:sz w:val="21"/>
      </w:rPr>
    </w:pPr>
    <w:r>
      <w:rPr>
        <w:sz w:val="21"/>
      </w:rPr>
      <w:pict>
        <v:shapetype id="_x0000_t202" coordsize="21600,21600" o:spt="202" path="m,l,21600r21600,l21600,xe">
          <v:stroke joinstyle="miter"/>
          <v:path gradientshapeok="t" o:extrusionok="f"/>
          <o:lock v:ext="edit" aspectratio="t"/>
        </v:shapetype>
        <v:shape id="00000d" style="position:absolute;mso-wrap-style:none;mso-position-horizontal-relative:margin;mso-position-vertical-relative:text;z-index:524288;mso-position-horizontal:outside;margin-left:0pt;margin-top:0pt;width:144pt;height:144pt;" filled="f" stroked="f" strokeweight="0.5pt" type="#_x0000_t202">
          <v:textbox style="mso-fit-shape-to-text:t;" inset="0pt,0pt,0pt,0pt">
            <w:txbxContent>
              <w:p>
                <w:pPr>
                  <w:pStyle w:val="000005"/>
                  <w:tabs>
                    <w:tab w:val="clear" w:pos="4153"/>
                    <w:tab w:val="clear" w:pos="8306"/>
                  </w:tabs>
                  <w:ind/>
                  <w:rPr>
                    <w:rFonts w:hint="eastAsia" w:eastAsia="仿宋_GB2312"/>
                    <w:lang w:eastAsia="zh-CN"/>
                  </w:rPr>
                </w:pPr>
                <w:r>
                  <w:rPr>
                    <w:rFonts w:hint="eastAsia" w:ascii="宋体" w:hAnsi="宋体" w:eastAsia="宋体" w:cs="宋体"/>
                    <w:sz w:val="28"/>
                    <w:szCs w:val="28"/>
                    <w:lang w:eastAsia="zh-CN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  <w:lang w:eastAsia="zh-CN"/>
                  </w:rPr>
                  <w:fldChar w:fldCharType="separate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  <w:lang w:eastAsia="zh-CN"/>
                  </w:rPr>
                  <w:t>1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  <w:lang w:eastAsia="zh-CN"/>
                  </w:rPr>
                  <w:fldChar w:fldCharType="end"/>
                </w:r>
              </w:p>
              <w:p>
                <w:pPr>
                  <w:pStyle w:val="000001"/>
                  <w:ind/>
                  <w:rPr/>
                </w:pPr>
              </w:p>
            </w:txbxContent>
          </v:textbox>
        </v:shape>
      </w:pict>
    </w:r>
  </w:p>
</w:ftr>
</file>

<file path=word/header1.xml><?xml version="1.0" encoding="utf-8"?>
<w:hdr xmlns:w="http://schemas.openxmlformats.org/wordprocessingml/2006/main">
  <w:p>
    <w:pPr>
      <w:pStyle w:val="000001"/>
      <w:keepNext w:val="false"/>
      <w:keepLines w:val="false"/>
      <w:pageBreakBefore w:val="false"/>
      <w:widowControl w:val="false"/>
      <w:kinsoku/>
      <w:wordWrap/>
      <w:overflowPunct/>
      <w:topLinePunct w:val="false"/>
      <w:autoSpaceDE/>
      <w:autoSpaceDN/>
      <w:bidi w:val="false"/>
      <w:spacing w:line="240" w:lineRule="exact"/>
      <w:ind w:left="0" w:leftChars="0" w:right="0" w:rightChars="0" w:firstLine="0" w:firstLineChars="0"/>
      <w:jc w:val="both"/>
      <w:outlineLvl w:val="9"/>
      <w:rPr>
        <w:rFonts w:hint="eastAsia"/>
        <w:lang w:eastAsia="zh-CN"/>
      </w:rPr>
    </w:pPr>
  </w:p>
</w:hdr>
</file>

<file path=word/settings.xml><?xml version="1.0" encoding="utf-8"?>
<w:settings xmlns:w="http://schemas.openxmlformats.org/wordprocessingml/2006/main">
  <w:zoom w:percent="100"/>
  <w:stylePaneFormatFilter/>
  <w:defaultTabStop w:val="425"/>
  <w:evenAndOddHeaders/>
  <w:displayHorizontalDrawingGridEvery w:val="0"/>
  <w:displayVerticalDrawingGridEvery w:val="1"/>
  <w:characterSpacingControl w:val="compressPunctuation"/>
  <w:footnotePr/>
  <w:endnotePr/>
  <w:compat>
    <w:balanceSingleByteDoubleByteWidth/>
    <w:doNotLeaveBackslashAlone/>
    <w:ulTrailSpace/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宋体" w:cs="Times New Roman"/>
        <w:kern w:val="2"/>
        <w:sz w:val="21"/>
        <w:szCs w:val="22"/>
        <w:lang w:val="en-US"/>
      </w:rPr>
    </w:rPrDefault>
    <w:pPrDefault>
      <w:pPr/>
    </w:pPrDefault>
  </w:docDefaults>
  <w:style w:type="table" w:styleId="000003">
    <w:name w:val="Normal Table"/>
    <w:next w:val="000003"/>
    <w:link w:val="000001"/>
    <w:semiHidden/>
    <w:qFormat/>
  </w:style>
  <w:style w:type="character" w:styleId="000002">
    <w:name w:val="Default Paragraph Font"/>
    <w:next w:val="000002"/>
    <w:link w:val="000001"/>
    <w:semiHidden/>
    <w:qFormat/>
  </w:style>
  <w:style w:type="character" w:styleId="000008">
    <w:name w:val="page number"/>
    <w:basedOn w:val="000002"/>
    <w:next w:val="000008"/>
    <w:link w:val="000001"/>
    <w:qFormat/>
  </w:style>
  <w:style w:type="paragraph" w:styleId="000001">
    <w:name w:val="Normal"/>
    <w:aliases w:val="正文"/>
    <w:next w:val="000001"/>
    <w:link w:val="000001"/>
    <w:qFormat/>
    <w:pPr>
      <w:widowControl w:val="false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paragraph" w:styleId="000006">
    <w:name w:val="header"/>
    <w:basedOn w:val="000001"/>
    <w:next w:val="000006"/>
    <w:link w:val="000001"/>
    <w:qFormat/>
    <w:pPr>
      <w:pBdr>
        <w:bottom w:val="single" w:color="000000" w:sz="6" w:space="1"/>
      </w:pBdr>
      <w:tabs>
        <w:tab w:val="center" w:leader="none" w:pos="4153"/>
        <w:tab w:val="right" w:leader="none" w:pos="8306"/>
      </w:tabs>
      <w:jc w:val="center"/>
    </w:pPr>
    <w:rPr>
      <w:sz w:val="18"/>
    </w:rPr>
  </w:style>
  <w:style w:type="paragraph" w:styleId="000004">
    <w:name w:val="Body Text"/>
    <w:basedOn w:val="000001"/>
    <w:next w:val="000004"/>
    <w:link w:val="000001"/>
    <w:qFormat/>
    <w:pPr>
      <w:jc w:val="center"/>
    </w:pPr>
    <w:rPr>
      <w:b/>
      <w:color w:val="ff0000"/>
      <w:sz w:val="44"/>
    </w:rPr>
  </w:style>
  <w:style w:type="paragraph" w:styleId="000007">
    <w:name w:val="Body Text 2"/>
    <w:basedOn w:val="000001"/>
    <w:next w:val="000007"/>
    <w:link w:val="000001"/>
    <w:qFormat/>
    <w:pPr>
      <w:jc w:val="center"/>
    </w:pPr>
    <w:rPr>
      <w:rFonts w:eastAsia="宋体"/>
      <w:sz w:val="44"/>
    </w:rPr>
  </w:style>
  <w:style w:type="paragraph" w:styleId="000005">
    <w:name w:val="footer"/>
    <w:basedOn w:val="000001"/>
    <w:next w:val="000005"/>
    <w:link w:val="000001"/>
    <w:qFormat/>
    <w:pPr>
      <w:tabs>
        <w:tab w:val="center" w:leader="none" w:pos="4153"/>
        <w:tab w:val="right" w:leader="none" w:pos="8306"/>
      </w:tabs>
      <w:jc w:val="left"/>
    </w:pPr>
    <w:rPr>
      <w:sz w:val="18"/>
    </w:rPr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theme" Target="theme/theme1.xml" /><Relationship Id="rId0" Type="http://schemas.openxmlformats.org/officeDocument/2006/relationships/styles" Target="styles.xml" /><Relationship Id="rId1" Type="http://schemas.openxmlformats.org/officeDocument/2006/relationships/settings" Target="settings.xml" /><Relationship Id="rId2" Type="http://schemas.openxmlformats.org/officeDocument/2006/relationships/fontTable" Target="fontTable.xml" /><Relationship Id="rId6" Type="http://schemas.openxmlformats.org/officeDocument/2006/relationships/footer" Target="footer2.xml" /><Relationship Id="rId4" Type="http://schemas.openxmlformats.org/officeDocument/2006/relationships/header" Target="header1.xml" /><Relationship Id="rId5" Type="http://schemas.openxmlformats.org/officeDocument/2006/relationships/footer" Target="footer1.xml" /></Relationships>
</file>

<file path=word/theme/theme1.xml><?xml version="1.0" encoding="utf-8"?>
<a:theme xmlns:a="http://schemas.openxmlformats.org/drawingml/2006/main" xmlns:thm15="http://schemas.microsoft.com/office/thememl/2012/main" xmlns:mc="http://schemas.openxmlformats.org/markup-compatibility/2006" name="Office 主题​​" mc:Ignorable="thm15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2025-04-09T17:05:32Z</dcterms:created>
  <dcterms:modified xsi:type="dcterms:W3CDTF">2025-04-09T17:05:32Z</dcterms:modified>
</cp:coreProperties>
</file>