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82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2"/>
        <w:gridCol w:w="4398"/>
      </w:tblGrid>
      <w:tr w14:paraId="2D97B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2" w:type="dxa"/>
            <w:noWrap w:val="0"/>
            <w:vAlign w:val="top"/>
          </w:tcPr>
          <w:p w14:paraId="37B40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4398" w:type="dxa"/>
            <w:noWrap w:val="0"/>
            <w:vAlign w:val="top"/>
          </w:tcPr>
          <w:p w14:paraId="31746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/>
              </w:rPr>
            </w:pPr>
          </w:p>
        </w:tc>
      </w:tr>
      <w:tr w14:paraId="42EEF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2" w:type="dxa"/>
            <w:noWrap w:val="0"/>
            <w:vAlign w:val="top"/>
          </w:tcPr>
          <w:p w14:paraId="262C6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</w:rPr>
            </w:pPr>
            <w:r>
              <w:rPr>
                <w:sz w:val="20"/>
              </w:rPr>
              <w:pict>
                <v:shape id="_x0000_s1026" o:spid="_x0000_s1026" o:spt="136" type="#_x0000_t136" style="position:absolute;left:0pt;margin-left:-3.9pt;margin-top:10.55pt;height:52.5pt;width:438.6pt;z-index:251660288;mso-width-relative:page;mso-height-relative:page;" fillcolor="#FF0000" filled="t" stroked="t" coordsize="21600,21600" adj="10800">
                  <v:path/>
                  <v:fill on="t" color2="#FFFFFF" focussize="0,0"/>
                  <v:stroke weight="1pt" color="#FF0000"/>
                  <v:imagedata o:title=""/>
                  <o:lock v:ext="edit" aspectratio="f"/>
                  <v:textpath on="t" fitshape="t" fitpath="t" trim="t" xscale="f" string="重庆市就业促进和劳动保护工作领导小组" style="font-family:方正小标宋_GBK;font-size:44pt;v-rotate-letters:f;v-same-letter-heights:f;v-text-align:center;"/>
                </v:shape>
              </w:pict>
            </w:r>
          </w:p>
        </w:tc>
        <w:tc>
          <w:tcPr>
            <w:tcW w:w="4398" w:type="dxa"/>
            <w:noWrap w:val="0"/>
            <w:vAlign w:val="top"/>
          </w:tcPr>
          <w:p w14:paraId="1655A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</w:rPr>
            </w:pPr>
          </w:p>
        </w:tc>
      </w:tr>
      <w:tr w14:paraId="3D98E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422" w:type="dxa"/>
            <w:noWrap w:val="0"/>
            <w:vAlign w:val="top"/>
          </w:tcPr>
          <w:p w14:paraId="758B5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4398" w:type="dxa"/>
            <w:noWrap w:val="0"/>
            <w:vAlign w:val="top"/>
          </w:tcPr>
          <w:p w14:paraId="6A684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/>
              </w:rPr>
            </w:pPr>
          </w:p>
        </w:tc>
      </w:tr>
      <w:tr w14:paraId="107DB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820" w:type="dxa"/>
            <w:gridSpan w:val="2"/>
            <w:noWrap w:val="0"/>
            <w:vAlign w:val="top"/>
          </w:tcPr>
          <w:p w14:paraId="5CAAE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/>
              </w:rPr>
            </w:pPr>
          </w:p>
          <w:p w14:paraId="5CB86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eastAsia="方正仿宋简体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eastAsia="zh-CN"/>
              </w:rPr>
              <w:t>渝就劳发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〔</w:t>
            </w:r>
            <w:r>
              <w:rPr>
                <w:rFonts w:hint="eastAsia" w:eastAsia="方正仿宋_GBK" w:cs="Times New Roman"/>
                <w:sz w:val="32"/>
                <w:szCs w:val="32"/>
                <w:lang w:eastAsia="zh-CN"/>
              </w:rPr>
              <w:t>2026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〕</w:t>
            </w:r>
            <w:r>
              <w:rPr>
                <w:rFonts w:hint="eastAsia" w:eastAsia="方正仿宋_GBK" w:cs="Times New Roman"/>
                <w:sz w:val="32"/>
                <w:szCs w:val="32"/>
                <w:lang w:eastAsia="zh-CN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号</w:t>
            </w:r>
          </w:p>
        </w:tc>
      </w:tr>
    </w:tbl>
    <w:p w14:paraId="35C9C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144145</wp:posOffset>
                </wp:positionV>
                <wp:extent cx="5579745" cy="9525"/>
                <wp:effectExtent l="0" t="19050" r="13335" b="32385"/>
                <wp:wrapNone/>
                <wp:docPr id="4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9745" cy="952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8925" h="15">
                              <a:moveTo>
                                <a:pt x="0" y="0"/>
                              </a:moveTo>
                              <a:lnTo>
                                <a:pt x="8925" y="15"/>
                              </a:lnTo>
                            </a:path>
                          </a:pathLst>
                        </a:cu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top:11.35pt;height:0.75pt;width:439.35pt;mso-position-horizontal:center;z-index:251659264;mso-width-relative:page;mso-height-relative:page;" filled="f" stroked="t" coordsize="8925,15" o:gfxdata="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pt8cl1QAAAAYBAAAPAAAAAAAAAAEAIAAA&#10;ACIAAABkcnMvZG93bnJldi54bWxQSwECFAAUAAAACACHTuJAt+E5q0gCAACqBAAADgAAAAAAAAAB&#10;ACAAAAAkAQAAZHJzL2Uyb0RvYy54bWxQSwUGAAAAAAYABgBZAQAA3gUAAAAA&#10;" path="m0,0l8925,15e">
                <v:fill on="f" focussize="0,0"/>
                <v:stroke weight="3pt" color="#FF0000" joinstyle="round"/>
                <v:imagedata o:title=""/>
                <o:lock v:ext="edit" aspectratio="f"/>
              </v:shape>
            </w:pict>
          </mc:Fallback>
        </mc:AlternateContent>
      </w:r>
    </w:p>
    <w:p w14:paraId="55104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i w:val="0"/>
          <w:caps w:val="0"/>
          <w:color w:val="111F2C"/>
          <w:spacing w:val="0"/>
          <w:sz w:val="32"/>
          <w:szCs w:val="32"/>
          <w:shd w:val="clear" w:color="auto" w:fill="FFFFFF"/>
        </w:rPr>
      </w:pPr>
      <w:bookmarkStart w:id="0" w:name="GWZW"/>
      <w:bookmarkEnd w:id="0"/>
    </w:p>
    <w:p w14:paraId="54F4C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_GBK" w:cs="方正小标宋_GBK"/>
          <w:sz w:val="44"/>
          <w:szCs w:val="44"/>
          <w:lang w:eastAsia="zh-CN"/>
        </w:rPr>
      </w:pPr>
      <w:bookmarkStart w:id="1" w:name="_GoBack"/>
      <w:r>
        <w:rPr>
          <w:rFonts w:hint="eastAsia" w:ascii="Times New Roman" w:hAnsi="Times New Roman" w:eastAsia="方正小标宋_GBK" w:cs="方正小标宋_GBK"/>
          <w:sz w:val="44"/>
          <w:szCs w:val="44"/>
          <w:lang w:eastAsia="zh-CN"/>
        </w:rPr>
        <w:t>重庆市就业促进和劳动保护</w:t>
      </w:r>
    </w:p>
    <w:p w14:paraId="4369F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lang w:eastAsia="zh-CN"/>
        </w:rPr>
        <w:t>工作领导小组关于印发《促进</w:t>
      </w:r>
      <w:r>
        <w:rPr>
          <w:rFonts w:hint="eastAsia" w:ascii="Times New Roman" w:hAnsi="Times New Roman" w:eastAsia="方正小标宋_GBK" w:cs="方正小标宋_GBK"/>
          <w:sz w:val="44"/>
          <w:szCs w:val="44"/>
        </w:rPr>
        <w:t>2026年</w:t>
      </w:r>
    </w:p>
    <w:p w14:paraId="4F6AE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高校毕业生等青年留渝来渝就业创业</w:t>
      </w:r>
    </w:p>
    <w:p w14:paraId="03C51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_GBK" w:cs="方正小标宋_GBK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工作方案</w:t>
      </w:r>
      <w:r>
        <w:rPr>
          <w:rFonts w:hint="eastAsia" w:ascii="Times New Roman" w:hAnsi="Times New Roman" w:eastAsia="方正小标宋_GBK" w:cs="方正小标宋_GBK"/>
          <w:sz w:val="44"/>
          <w:szCs w:val="44"/>
          <w:lang w:eastAsia="zh-CN"/>
        </w:rPr>
        <w:t>》的通知</w:t>
      </w:r>
      <w:bookmarkEnd w:id="1"/>
    </w:p>
    <w:p w14:paraId="614BF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firstLine="632" w:firstLineChars="200"/>
        <w:jc w:val="both"/>
        <w:textAlignment w:val="auto"/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</w:pPr>
    </w:p>
    <w:p w14:paraId="13633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firstLine="0" w:firstLineChars="0"/>
        <w:jc w:val="both"/>
        <w:textAlignment w:val="auto"/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各区县（自治县）就业促进和劳动保护工作领导小组，市就业促进和劳动保护工作领导小组有关成员单位，有关市级单位：</w:t>
      </w:r>
    </w:p>
    <w:p w14:paraId="407F7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firstLine="632" w:firstLineChars="200"/>
        <w:jc w:val="both"/>
        <w:textAlignment w:val="auto"/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根据《中共重庆市委重庆市人民政府关于印发〈重庆市促进高质量充分就业实施方案〉的通知》（渝委发﹝2025﹞7号）和《重庆市人民政府办公厅关于印发〈百万高校毕业生等青年留渝来渝就业创业行动计划（2024—2027年）〉的通知》（渝府办发﹝2024﹞35号）要求，市就业促进和劳动保护工作领导小组制定了《促进2026年高校毕业生等青年留渝来渝就业创业工作方案》，现印发给你们，请结合实际认真抓好贯彻落实。</w:t>
      </w:r>
    </w:p>
    <w:p w14:paraId="2D0F3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right="24"/>
        <w:jc w:val="right"/>
        <w:textAlignment w:val="auto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drawing>
          <wp:inline distT="0" distB="0" distL="114300" distR="114300">
            <wp:extent cx="2600325" cy="1657350"/>
            <wp:effectExtent l="0" t="0" r="0" b="3810"/>
            <wp:docPr id="1" name="图片 1" descr="1773390834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7339083479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C0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jc w:val="both"/>
        <w:textAlignment w:val="auto"/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</w:pPr>
    </w:p>
    <w:p w14:paraId="391B9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br w:type="page"/>
      </w:r>
      <w:r>
        <w:rPr>
          <w:rFonts w:hint="eastAsia" w:ascii="Times New Roman" w:hAnsi="Times New Roman" w:eastAsia="方正小标宋_GBK" w:cs="方正小标宋_GBK"/>
          <w:sz w:val="44"/>
          <w:szCs w:val="44"/>
          <w:lang w:eastAsia="zh-CN"/>
        </w:rPr>
        <w:t>促进</w:t>
      </w:r>
      <w:r>
        <w:rPr>
          <w:rFonts w:hint="eastAsia" w:ascii="Times New Roman" w:hAnsi="Times New Roman" w:eastAsia="方正小标宋_GBK" w:cs="方正小标宋_GBK"/>
          <w:sz w:val="44"/>
          <w:szCs w:val="44"/>
        </w:rPr>
        <w:t>2026年高校毕业生等青年留渝来渝</w:t>
      </w:r>
    </w:p>
    <w:p w14:paraId="03C48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就业创业工作方案</w:t>
      </w:r>
    </w:p>
    <w:p w14:paraId="77BE6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20"/>
        </w:rPr>
      </w:pPr>
    </w:p>
    <w:p w14:paraId="38B44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20"/>
        </w:rPr>
      </w:pPr>
      <w:r>
        <w:rPr>
          <w:rFonts w:hint="eastAsia" w:ascii="Times New Roman" w:hAnsi="Times New Roman" w:eastAsia="方正仿宋_GBK" w:cs="方正仿宋_GBK"/>
          <w:sz w:val="32"/>
          <w:szCs w:val="20"/>
        </w:rPr>
        <w:t>为深入贯彻党中央、国务院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稳就业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决策部署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和市委、市政府促进高质量充分就业工作要求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，</w:t>
      </w:r>
      <w:r>
        <w:rPr>
          <w:rFonts w:hint="eastAsia" w:eastAsia="方正仿宋_GBK" w:cs="方正仿宋_GBK"/>
          <w:sz w:val="32"/>
          <w:szCs w:val="20"/>
          <w:lang w:eastAsia="zh-CN"/>
        </w:rPr>
        <w:t>落实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中央教育工作领导小组秘书组《关于印发</w:t>
      </w:r>
      <w:r>
        <w:rPr>
          <w:rFonts w:hint="eastAsia" w:ascii="方正仿宋_GBK" w:hAnsi="方正仿宋_GBK" w:eastAsia="方正仿宋_GBK" w:cs="方正仿宋_GBK"/>
          <w:sz w:val="32"/>
          <w:szCs w:val="20"/>
        </w:rPr>
        <w:t>〈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2026届高校毕业生就业扩容提质行动方案</w:t>
      </w:r>
      <w:r>
        <w:rPr>
          <w:rFonts w:hint="eastAsia" w:ascii="方正仿宋_GBK" w:hAnsi="方正仿宋_GBK" w:eastAsia="方正仿宋_GBK" w:cs="方正仿宋_GBK"/>
          <w:sz w:val="32"/>
          <w:szCs w:val="20"/>
        </w:rPr>
        <w:t>〉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的通知》（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〔</w:t>
      </w:r>
      <w:r>
        <w:rPr>
          <w:rFonts w:hint="eastAsia" w:eastAsia="方正仿宋_GBK" w:cs="Times New Roman"/>
          <w:sz w:val="32"/>
          <w:szCs w:val="32"/>
          <w:lang w:eastAsia="zh-CN"/>
        </w:rPr>
        <w:t>2026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〕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2号）</w:t>
      </w:r>
      <w:r>
        <w:rPr>
          <w:rFonts w:hint="eastAsia" w:eastAsia="方正仿宋_GBK" w:cs="方正仿宋_GBK"/>
          <w:sz w:val="32"/>
          <w:szCs w:val="20"/>
          <w:lang w:eastAsia="zh-CN"/>
        </w:rPr>
        <w:t>文件精神，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促进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高校毕业生等青年留渝来渝就业创业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，特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制定本方案。</w:t>
      </w:r>
    </w:p>
    <w:p w14:paraId="1724E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黑体_GBK" w:cs="方正黑体_GBK"/>
          <w:sz w:val="32"/>
          <w:szCs w:val="20"/>
          <w:lang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20"/>
        </w:rPr>
        <w:t>一、主要目标</w:t>
      </w:r>
    </w:p>
    <w:p w14:paraId="2AA0E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20"/>
        </w:rPr>
        <w:t>2026年，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促进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高校毕业生等青年留渝来渝就业创业40万人以上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市外来渝6万人以上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），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2026届高校毕业生离校前落实率不低于75%，离校未就业毕业生年底就业率不低于9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0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%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全年高校毕业生就业率不低于95%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。</w:t>
      </w:r>
    </w:p>
    <w:p w14:paraId="6AFB0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黑体_GBK" w:cs="方正黑体_GBK"/>
          <w:sz w:val="32"/>
          <w:szCs w:val="20"/>
          <w:lang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20"/>
        </w:rPr>
        <w:t>二、主要任务</w:t>
      </w:r>
    </w:p>
    <w:p w14:paraId="0B8C0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楷体_GBK" w:cs="方正楷体_GBK"/>
          <w:sz w:val="32"/>
          <w:szCs w:val="20"/>
          <w:lang w:eastAsia="zh-CN"/>
        </w:rPr>
      </w:pPr>
      <w:r>
        <w:rPr>
          <w:rFonts w:hint="eastAsia" w:ascii="Times New Roman" w:hAnsi="Times New Roman" w:eastAsia="方正楷体_GBK" w:cs="方正楷体_GBK"/>
          <w:sz w:val="32"/>
          <w:szCs w:val="20"/>
        </w:rPr>
        <w:t>（一）实施</w:t>
      </w:r>
      <w:r>
        <w:rPr>
          <w:rFonts w:hint="eastAsia" w:ascii="Times New Roman" w:hAnsi="Times New Roman" w:eastAsia="方正楷体_GBK" w:cs="方正楷体_GBK"/>
          <w:sz w:val="32"/>
          <w:szCs w:val="20"/>
          <w:lang w:eastAsia="zh-CN"/>
        </w:rPr>
        <w:t>就业</w:t>
      </w:r>
      <w:r>
        <w:rPr>
          <w:rFonts w:hint="eastAsia" w:ascii="Times New Roman" w:hAnsi="Times New Roman" w:eastAsia="方正楷体_GBK" w:cs="方正楷体_GBK"/>
          <w:sz w:val="32"/>
          <w:szCs w:val="20"/>
          <w:lang w:val="en-US" w:eastAsia="zh-CN"/>
        </w:rPr>
        <w:t>稳岗扩容提质</w:t>
      </w:r>
      <w:r>
        <w:rPr>
          <w:rFonts w:hint="eastAsia" w:ascii="Times New Roman" w:hAnsi="Times New Roman" w:eastAsia="方正楷体_GBK" w:cs="方正楷体_GBK"/>
          <w:sz w:val="32"/>
          <w:szCs w:val="20"/>
        </w:rPr>
        <w:t>行动</w:t>
      </w:r>
    </w:p>
    <w:p w14:paraId="401AD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20"/>
        </w:rPr>
        <w:t>1</w:t>
      </w:r>
      <w:r>
        <w:rPr>
          <w:rFonts w:hint="eastAsia" w:eastAsia="方正仿宋_GBK" w:cs="方正仿宋_GBK"/>
          <w:b w:val="0"/>
          <w:bCs w:val="0"/>
          <w:sz w:val="32"/>
          <w:szCs w:val="20"/>
          <w:lang w:eastAsia="zh-CN"/>
        </w:rPr>
        <w:t>．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20"/>
          <w:lang w:val="en-US" w:eastAsia="zh-CN"/>
        </w:rPr>
        <w:t>拓宽高质量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20"/>
          <w:lang w:eastAsia="zh-CN"/>
        </w:rPr>
        <w:t>市场化就业渠道。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增强先进制造业就业“主引擎”作用，推动“33618”现代制造业集群体系提质升级，拓展智能网联新能源汽车、先进材料、智能制造、食品及农产品加工等产业就业岗位，迭代实施软信产业“满天星”促就业行动，进一步扩大制造业企业吸纳青年就业规模。发挥生产性服务业吸纳就业“主渠道”作用，推进工业设计、现代物流、检验检测、科技服务、会计法务等现代生产性服务业发展，不断拓展就业“蓄水池”。前瞻布局新兴产业、未来产业等就业集聚区，丰富低空经济、“人工智能+”应用场景，发展银发经济、情绪经济、数字文娱等消费新业态，开辟生物制造、具身智能、脑机接口等新赛道，培育新的就业增长点。建立新增高质量就业岗位调查制度，充分评估产业发展就业带动力。</w:t>
      </w:r>
    </w:p>
    <w:p w14:paraId="6F732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2</w:t>
      </w:r>
      <w:r>
        <w:rPr>
          <w:rFonts w:hint="eastAsia" w:eastAsia="方正仿宋_GBK" w:cs="方正仿宋_GBK"/>
          <w:sz w:val="32"/>
          <w:szCs w:val="20"/>
          <w:lang w:eastAsia="zh-CN"/>
        </w:rPr>
        <w:t>．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20"/>
          <w:lang w:val="en-US" w:eastAsia="zh-CN"/>
        </w:rPr>
        <w:t>规范发展新就业形态。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val="en-US" w:eastAsia="zh-CN"/>
        </w:rPr>
        <w:t>支持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</w:rPr>
        <w:t>平台经济、共享经济等新业态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eastAsia="zh-CN"/>
        </w:rPr>
        <w:t>发展，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</w:rPr>
        <w:t>开发更多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eastAsia="zh-CN"/>
        </w:rPr>
        <w:t>网络主播、全媒体运营人员、网络咨询及培训人员、网络作家等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val="en-US" w:eastAsia="zh-CN"/>
        </w:rPr>
        <w:t>新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</w:rPr>
        <w:t>岗位。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val="en-US" w:eastAsia="zh-CN"/>
        </w:rPr>
        <w:t>发展知识密集型的新就业形态，鼓励青年从事AI训练、数据分析、软件开发、数字内容创作、在线教育、远程医疗等“云端工作”。加大新职业、新工种、新专项培育开发，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eastAsia="zh-CN"/>
        </w:rPr>
        <w:t>扩大新职业技能等级评价覆盖面，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val="en-US" w:eastAsia="zh-CN"/>
        </w:rPr>
        <w:t>畅通新就业形态从业青年职业发展通道。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eastAsia="zh-CN"/>
        </w:rPr>
        <w:t>扩大新就业形态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val="en-US" w:eastAsia="zh-CN"/>
        </w:rPr>
        <w:t>从业青年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eastAsia="zh-CN"/>
        </w:rPr>
        <w:t>职业伤害保障试点，保障新就业形态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val="en-US" w:eastAsia="zh-CN"/>
        </w:rPr>
        <w:t>从业青年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eastAsia="zh-CN"/>
        </w:rPr>
        <w:t>对平台劳动规则的知情权、参与权，畅通维权渠道。</w:t>
      </w:r>
    </w:p>
    <w:p w14:paraId="3DA56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3</w:t>
      </w:r>
      <w:r>
        <w:rPr>
          <w:rFonts w:hint="eastAsia" w:eastAsia="方正仿宋_GBK" w:cs="方正仿宋_GBK"/>
          <w:sz w:val="32"/>
          <w:szCs w:val="20"/>
          <w:lang w:eastAsia="zh-CN"/>
        </w:rPr>
        <w:t>．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20"/>
          <w:lang w:val="en-US" w:eastAsia="zh-CN"/>
        </w:rPr>
        <w:t>稳定公共部门岗位规模。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合理开发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机关事业单位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、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国有企业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招录（聘）岗位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力争规模不减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。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实施万名大学生基层就业支持计划，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结合乡村振兴、基层治理等需求开发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基层公共服务岗位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，扩大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“三支一扶”“西部计划”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等中央和地方项目招募规模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，按规定享受考研加分、生活补贴、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学费补偿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等政策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鼓励高校毕业生扎根基层、干事创业。</w:t>
      </w:r>
    </w:p>
    <w:p w14:paraId="3540E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楷体_GBK" w:cs="方正楷体_GBK"/>
          <w:sz w:val="32"/>
          <w:szCs w:val="20"/>
          <w:lang w:eastAsia="zh-CN"/>
        </w:rPr>
      </w:pPr>
      <w:r>
        <w:rPr>
          <w:rFonts w:hint="eastAsia" w:ascii="Times New Roman" w:hAnsi="Times New Roman" w:eastAsia="方正楷体_GBK" w:cs="方正楷体_GBK"/>
          <w:sz w:val="32"/>
          <w:szCs w:val="20"/>
        </w:rPr>
        <w:t>（二）实施产教融合深化行动</w:t>
      </w:r>
    </w:p>
    <w:p w14:paraId="262CE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20"/>
        </w:rPr>
      </w:pP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4</w:t>
      </w:r>
      <w:r>
        <w:rPr>
          <w:rFonts w:hint="eastAsia" w:eastAsia="方正仿宋_GBK" w:cs="方正仿宋_GBK"/>
          <w:sz w:val="32"/>
          <w:szCs w:val="20"/>
          <w:lang w:eastAsia="zh-CN"/>
        </w:rPr>
        <w:t>．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20"/>
          <w:lang w:val="en-US" w:eastAsia="zh-CN"/>
        </w:rPr>
        <w:t>加强产教融合协同育人。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探索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建立人力资源需求预测发布机制，围绕三大万亿级和软信产业，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发布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人力资源短期紧缺和长期战略需求清单，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为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高校优化学科专业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设置提供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参考。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推广“高校+政府+企业+协会+机构”协同育人模式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建设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卓越工程师学院、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现代产业学院和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市域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产教联合体，重点培养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现代制造业急需的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卓越工程师和高技能人才。鼓励企业与高校共建“订单班”，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共同培养所需人才，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实现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产业专业就业联动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。</w:t>
      </w:r>
    </w:p>
    <w:p w14:paraId="7F128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20"/>
          <w:lang w:val="en-US"/>
        </w:rPr>
      </w:pP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5</w:t>
      </w:r>
      <w:r>
        <w:rPr>
          <w:rFonts w:hint="eastAsia" w:eastAsia="方正仿宋_GBK" w:cs="方正仿宋_GBK"/>
          <w:sz w:val="32"/>
          <w:szCs w:val="20"/>
          <w:lang w:val="en-US" w:eastAsia="zh-CN"/>
        </w:rPr>
        <w:t>．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20"/>
          <w:lang w:val="en-US" w:eastAsia="zh-CN"/>
        </w:rPr>
        <w:t>强化职业技能培训。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深入实施“技能照亮前程”培训行动，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瞄准先进制造、数字经济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、低空经济、新能源汽车、人工智能、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养老服务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等重点产业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用工需求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和劳动者就业需求，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推行“岗位需求+技能培训+技能评价+就业服务”四位一体培训模式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，</w:t>
      </w:r>
      <w:r>
        <w:rPr>
          <w:rFonts w:hint="eastAsia" w:ascii="Times New Roman" w:hAnsi="Times New Roman" w:eastAsia="方正仿宋_GBK" w:cs="方正仿宋_GBK"/>
          <w:kern w:val="2"/>
          <w:sz w:val="32"/>
          <w:szCs w:val="20"/>
        </w:rPr>
        <w:t>推广“订单式”“项目制”“学徒制”等培训，</w:t>
      </w:r>
      <w:r>
        <w:rPr>
          <w:rFonts w:hint="eastAsia" w:ascii="Times New Roman" w:hAnsi="Times New Roman" w:eastAsia="方正仿宋_GBK" w:cs="方正仿宋_GBK"/>
          <w:kern w:val="2"/>
          <w:sz w:val="32"/>
          <w:szCs w:val="20"/>
          <w:lang w:eastAsia="zh-CN"/>
        </w:rPr>
        <w:t>实施就业导向的差异化培训补贴。</w:t>
      </w:r>
      <w:r>
        <w:rPr>
          <w:rFonts w:hint="eastAsia" w:ascii="Times New Roman" w:hAnsi="Times New Roman" w:eastAsia="方正仿宋_GBK" w:cs="方正仿宋_GBK"/>
          <w:kern w:val="2"/>
          <w:sz w:val="32"/>
          <w:szCs w:val="20"/>
        </w:rPr>
        <w:t>建设“智能就业线上培训平台”，开办</w:t>
      </w:r>
      <w:r>
        <w:rPr>
          <w:rFonts w:hint="eastAsia" w:ascii="Times New Roman" w:hAnsi="Times New Roman" w:eastAsia="方正仿宋_GBK" w:cs="方正仿宋_GBK"/>
          <w:kern w:val="2"/>
          <w:sz w:val="32"/>
          <w:szCs w:val="20"/>
          <w:lang w:eastAsia="zh-CN"/>
        </w:rPr>
        <w:t>“技能夜校”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“青年夜校”</w:t>
      </w:r>
      <w:r>
        <w:rPr>
          <w:rFonts w:hint="eastAsia" w:ascii="Times New Roman" w:hAnsi="Times New Roman" w:eastAsia="方正仿宋_GBK" w:cs="方正仿宋_GBK"/>
          <w:kern w:val="2"/>
          <w:sz w:val="32"/>
          <w:szCs w:val="20"/>
        </w:rPr>
        <w:t>，实行弹性学制，增强培训的针对性、便利度。加强绩效评估，在标准制定、技能评价、技能竞赛等方面密集赋能，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全年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培训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青年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4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万人次以上。</w:t>
      </w:r>
    </w:p>
    <w:p w14:paraId="0E5B8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20"/>
        </w:rPr>
      </w:pP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6</w:t>
      </w:r>
      <w:r>
        <w:rPr>
          <w:rFonts w:hint="eastAsia" w:eastAsia="方正仿宋_GBK" w:cs="方正仿宋_GBK"/>
          <w:sz w:val="32"/>
          <w:szCs w:val="20"/>
          <w:lang w:val="en-US" w:eastAsia="zh-CN"/>
        </w:rPr>
        <w:t>．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20"/>
          <w:lang w:val="en-US" w:eastAsia="zh-CN"/>
        </w:rPr>
        <w:t>提升职业指导能力。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实施就业能力提升计划，加快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构建“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微专业、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教材、课程、专家、工作室、平台”六位一体的就业指导体系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，打造数字经济、人工智能等市级示范性“微专业”300个，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提升高校辅导员的就业指导能力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highlight w:val="none"/>
          <w:lang w:val="en-US" w:eastAsia="zh-CN"/>
        </w:rPr>
        <w:t>加强求职能力实训师队伍建设，组织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课程设计、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教学研讨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、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观摩教学、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讲师大赛等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活动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，提升师资专业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水平。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强化大学生职业生涯规划教育，组织参加第三届全国大学生职业规划大赛，增强大学生生涯规划意识。</w:t>
      </w:r>
    </w:p>
    <w:p w14:paraId="008D4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7</w:t>
      </w:r>
      <w:r>
        <w:rPr>
          <w:rFonts w:hint="eastAsia" w:eastAsia="方正仿宋_GBK" w:cs="方正仿宋_GBK"/>
          <w:sz w:val="32"/>
          <w:szCs w:val="20"/>
          <w:lang w:val="en-US" w:eastAsia="zh-CN"/>
        </w:rPr>
        <w:t>．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20"/>
          <w:lang w:val="en-US" w:eastAsia="zh-CN"/>
        </w:rPr>
        <w:t>丰富实习实训形式。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实施十万大学生职业体验行动计划，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健全职业体验长效机制，扩大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20"/>
          <w:lang w:val="en-US" w:eastAsia="zh-CN"/>
        </w:rPr>
        <w:t>职业体验单位规模，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利用寒暑假等时间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组织大学生到基层机关事业单位、先进制造业企业等用人单位学习实践，帮助大学生找准职业定位，助力企业人才储备。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完善青年就业见习管理体系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，围绕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重点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产业用工需求，开发科研类、技术类、管理类见习岗位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10万个以上，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提升青年就业见习服务质效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。全面推开青年</w:t>
      </w:r>
      <w:r>
        <w:rPr>
          <w:rFonts w:hint="eastAsia" w:ascii="Times New Roman" w:hAnsi="Times New Roman" w:eastAsia="方正仿宋_GBK" w:cs="方正仿宋_GBK"/>
          <w:color w:val="auto"/>
          <w:kern w:val="2"/>
          <w:sz w:val="32"/>
          <w:szCs w:val="20"/>
          <w:lang w:val="en-US" w:eastAsia="zh-CN"/>
        </w:rPr>
        <w:t>求职能力实训营，优选50家实训</w:t>
      </w:r>
      <w:r>
        <w:rPr>
          <w:rFonts w:hint="eastAsia" w:ascii="Times New Roman" w:hAnsi="Times New Roman" w:eastAsia="方正仿宋_GBK" w:cs="方正仿宋_GBK"/>
          <w:color w:val="auto"/>
          <w:kern w:val="2"/>
          <w:sz w:val="32"/>
          <w:szCs w:val="20"/>
          <w:lang w:eastAsia="zh-CN"/>
        </w:rPr>
        <w:t>机构，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提供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简历修改、模拟面试、求职路演、企业参观、跟岗锻炼等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实训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提高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青年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求职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技巧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。</w:t>
      </w:r>
    </w:p>
    <w:p w14:paraId="20A3E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楷体_GBK" w:cs="方正楷体_GBK"/>
          <w:sz w:val="32"/>
          <w:szCs w:val="20"/>
          <w:lang w:eastAsia="zh-CN"/>
        </w:rPr>
      </w:pPr>
      <w:r>
        <w:rPr>
          <w:rFonts w:hint="eastAsia" w:ascii="Times New Roman" w:hAnsi="Times New Roman" w:eastAsia="方正楷体_GBK" w:cs="方正楷体_GBK"/>
          <w:sz w:val="32"/>
          <w:szCs w:val="20"/>
        </w:rPr>
        <w:t>（三）实施创业生态优化行动</w:t>
      </w:r>
    </w:p>
    <w:p w14:paraId="292A6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20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val="en-US" w:eastAsia="zh-CN"/>
        </w:rPr>
        <w:t>8</w:t>
      </w:r>
      <w:r>
        <w:rPr>
          <w:rFonts w:hint="eastAsia" w:eastAsia="方正仿宋_GBK" w:cs="方正仿宋_GBK"/>
          <w:color w:val="auto"/>
          <w:sz w:val="32"/>
          <w:szCs w:val="20"/>
          <w:lang w:val="en-US" w:eastAsia="zh-CN"/>
        </w:rPr>
        <w:t>．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20"/>
          <w:lang w:val="en-US" w:eastAsia="zh-CN"/>
        </w:rPr>
        <w:t>完善创业扶持政策。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val="en-US" w:eastAsia="zh-CN"/>
        </w:rPr>
        <w:t>推广“科技成果+创业、产业发展+创业、职业技能+创业、民生需求+创业”等模式，用好用足创业担保贷款、“青锋贷款”“乡村振兴青年贷”等金融产品，全年发放政策性贷款30亿元以上。开展创业孵化园区孵化成效评价，持续增强园区孵化能力和带动就业能力。组织青年参加创业培训1万人次以上，提升创业意识和实践能力。</w:t>
      </w:r>
    </w:p>
    <w:p w14:paraId="7CD03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20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val="en-US" w:eastAsia="zh-CN"/>
        </w:rPr>
        <w:t>9</w:t>
      </w:r>
      <w:r>
        <w:rPr>
          <w:rFonts w:hint="eastAsia" w:eastAsia="方正仿宋_GBK" w:cs="方正仿宋_GBK"/>
          <w:color w:val="auto"/>
          <w:sz w:val="32"/>
          <w:szCs w:val="20"/>
          <w:lang w:val="en-US" w:eastAsia="zh-CN"/>
        </w:rPr>
        <w:t>．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20"/>
          <w:lang w:val="en-US" w:eastAsia="zh-CN"/>
        </w:rPr>
        <w:t>优化创业支持措施。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val="en-US" w:eastAsia="zh-CN"/>
        </w:rPr>
        <w:t>打造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auto"/>
          <w:spacing w:val="0"/>
          <w:sz w:val="32"/>
          <w:szCs w:val="20"/>
          <w:shd w:val="clear" w:color="auto" w:fill="auto"/>
        </w:rPr>
        <w:t>AI赋能创新创业创意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auto"/>
          <w:spacing w:val="0"/>
          <w:sz w:val="32"/>
          <w:szCs w:val="20"/>
          <w:shd w:val="clear" w:color="auto" w:fill="auto"/>
          <w:lang w:eastAsia="zh-CN"/>
        </w:rPr>
        <w:t>应用场景，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auto"/>
          <w:spacing w:val="0"/>
          <w:sz w:val="32"/>
          <w:szCs w:val="20"/>
          <w:shd w:val="clear" w:color="auto" w:fill="auto"/>
        </w:rPr>
        <w:t>提供智能体建模、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auto"/>
          <w:spacing w:val="0"/>
          <w:sz w:val="32"/>
          <w:szCs w:val="20"/>
          <w:shd w:val="clear" w:color="auto" w:fill="auto"/>
          <w:lang w:val="en-US" w:eastAsia="zh-CN"/>
        </w:rPr>
        <w:t>资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auto"/>
          <w:spacing w:val="0"/>
          <w:sz w:val="32"/>
          <w:szCs w:val="20"/>
          <w:shd w:val="clear" w:color="auto" w:fill="auto"/>
        </w:rPr>
        <w:t>产管理、剧情生成、行为模拟等服务。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val="en-US" w:eastAsia="zh-CN"/>
        </w:rPr>
        <w:t>推广“个人创业一件事”集成服务场景，推动创业补贴申领、经营主体登记注册等高频事项“打包办”。建强创业导师及“陪跑人”队伍，开展“导师问诊”“一对一陪跑”等活动1000场次以上，提供技术对接、创业孵化、融资支持、经营管理等陪跑服务。支持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“一人公司”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发展，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val="en-US" w:eastAsia="zh-CN"/>
        </w:rPr>
        <w:t>探索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建立“零租金、零等待、零审批”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的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公司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开办绿色通道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培育一批高成长性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的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“超级个体”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企业。</w:t>
      </w:r>
    </w:p>
    <w:p w14:paraId="64E48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20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val="en-US" w:eastAsia="zh-CN"/>
        </w:rPr>
        <w:t>10</w:t>
      </w:r>
      <w:r>
        <w:rPr>
          <w:rFonts w:hint="eastAsia" w:eastAsia="方正仿宋_GBK" w:cs="方正仿宋_GBK"/>
          <w:color w:val="auto"/>
          <w:sz w:val="32"/>
          <w:szCs w:val="20"/>
          <w:lang w:val="en-US" w:eastAsia="zh-CN"/>
        </w:rPr>
        <w:t>．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20"/>
          <w:lang w:val="en-US" w:eastAsia="zh-CN"/>
        </w:rPr>
        <w:t>营造创新创业氛围。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lang w:val="en-US" w:eastAsia="zh-CN"/>
        </w:rPr>
        <w:t>引导区县构建四链融合的环大学创新创业生态体系，推动实验室、中试平台及算力等资源共享，新孵化初创企业1000家，新增创新创业人才1万人。实施“启航计划”“加速计划”“优创优帮”“留创计划”“青锋计划”等创业帮扶计划，组织“创赢未来”暨“渝创渝新”创业创新大赛、“大创慧谷”大学生微电影节等活动，搭建创新创业交流平台。健全创业风险援助机制，探索建立创业失败再就业创业帮扶制度。对因市场原因导致创业中止的青年，提供法律咨询、债务协调、财务清算、心理疏导等“一站式”援助服务，降低创业风险，营造良好氛围。</w:t>
      </w:r>
    </w:p>
    <w:p w14:paraId="4B26D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楷体_GBK" w:cs="方正楷体_GBK"/>
          <w:sz w:val="32"/>
          <w:szCs w:val="20"/>
          <w:lang w:eastAsia="zh-CN"/>
        </w:rPr>
      </w:pPr>
      <w:r>
        <w:rPr>
          <w:rFonts w:hint="eastAsia" w:ascii="Times New Roman" w:hAnsi="Times New Roman" w:eastAsia="方正楷体_GBK" w:cs="方正楷体_GBK"/>
          <w:sz w:val="32"/>
          <w:szCs w:val="20"/>
        </w:rPr>
        <w:t>（四）实施服务效能提升行动</w:t>
      </w:r>
    </w:p>
    <w:p w14:paraId="4C6BA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20"/>
        </w:rPr>
      </w:pPr>
      <w:r>
        <w:rPr>
          <w:rFonts w:hint="eastAsia" w:ascii="Times New Roman" w:hAnsi="Times New Roman" w:eastAsia="方正仿宋_GBK" w:cs="方正仿宋_GBK"/>
          <w:sz w:val="32"/>
          <w:szCs w:val="20"/>
        </w:rPr>
        <w:t>1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1</w:t>
      </w:r>
      <w:r>
        <w:rPr>
          <w:rFonts w:hint="eastAsia" w:eastAsia="方正仿宋_GBK" w:cs="方正仿宋_GBK"/>
          <w:sz w:val="32"/>
          <w:szCs w:val="20"/>
          <w:lang w:eastAsia="zh-CN"/>
        </w:rPr>
        <w:t>．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20"/>
          <w:lang w:val="en-US" w:eastAsia="zh-CN"/>
        </w:rPr>
        <w:t>推行AI赋能就业公共服务模式。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探索建立西部地区高校毕业生等青年就业服务平台，整合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“渝悦·就业”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“渝才荟”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“24365大学生就业服务平台”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“国企优聘”岗位信息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归集发布政策清单、就业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岗位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、职业体验、培训见习等信息，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服务青年就业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。强化数字就业体系化建设，迭代“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AI+就业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”应用场景，绘制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求职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画像，智能匹配、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精准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推送岗位培训等信息。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实施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基层就业公共服务能力提升项目，完善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线下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就业公共服务体系。推进人力资源要素市场化配置综合改革试点工作，打造覆盖全职业周期人力资源服务超市，汇聚职业认知探索、职业规划、技能培训、技能再提升等服务供给。</w:t>
      </w:r>
    </w:p>
    <w:p w14:paraId="4702A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jc w:val="both"/>
        <w:textAlignment w:val="auto"/>
        <w:rPr>
          <w:rFonts w:hint="eastAsia" w:ascii="Times New Roman" w:hAnsi="Times New Roman" w:eastAsia="方正仿宋_GBK" w:cs="方正仿宋_GBK"/>
          <w:sz w:val="32"/>
          <w:szCs w:val="20"/>
        </w:rPr>
      </w:pP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12</w:t>
      </w:r>
      <w:r>
        <w:rPr>
          <w:rFonts w:hint="eastAsia" w:eastAsia="方正仿宋_GBK" w:cs="方正仿宋_GBK"/>
          <w:sz w:val="32"/>
          <w:szCs w:val="20"/>
          <w:lang w:eastAsia="zh-CN"/>
        </w:rPr>
        <w:t>．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20"/>
          <w:lang w:val="en-US" w:eastAsia="zh-CN"/>
        </w:rPr>
        <w:t>开展分类精准帮扶。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抢抓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校园招聘黄金期，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开展公共就业服务进校园活动，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赴市内外高校开展招聘服务70场以上。</w:t>
      </w:r>
      <w:r>
        <w:rPr>
          <w:rFonts w:hint="eastAsia" w:ascii="Times New Roman" w:hAnsi="Times New Roman" w:eastAsia="方正仿宋_GBK" w:cs="方正仿宋_GBK"/>
          <w:kern w:val="2"/>
          <w:sz w:val="32"/>
          <w:szCs w:val="20"/>
          <w:lang w:val="en-US" w:eastAsia="zh-CN" w:bidi="ar"/>
        </w:rPr>
        <w:t>实施青年就业启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航计划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提供至少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1次政策宣介、1次职业指导、3次岗位推荐、1次培训或见习机会，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帮助长期失业青年、困难青年理性择业、积极就业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。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实施离校未就业毕业生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就业服务攻坚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、高校人社局长结对帮扶、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“宏志助航”培训计划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等专项行动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为就业工作压力大的高校、离校未就业毕业生提供定制化帮扶，为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低保家庭、零就业家庭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、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残疾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等困难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毕业生优先提供岗位信息、职业指导、培训见习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服务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为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确实难以市场化渠道就业的毕业生提供公益性岗位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。持续监测在渝高校毕业生等青年就业状况，按需提供服务，巩固留渝来渝成果。</w:t>
      </w:r>
    </w:p>
    <w:p w14:paraId="4A506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20"/>
        </w:rPr>
      </w:pP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13</w:t>
      </w:r>
      <w:r>
        <w:rPr>
          <w:rFonts w:hint="eastAsia" w:eastAsia="方正仿宋_GBK" w:cs="方正仿宋_GBK"/>
          <w:sz w:val="32"/>
          <w:szCs w:val="20"/>
          <w:lang w:eastAsia="zh-CN"/>
        </w:rPr>
        <w:t>．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20"/>
          <w:lang w:val="en-US" w:eastAsia="zh-CN"/>
        </w:rPr>
        <w:t>丰富配套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20"/>
          <w:lang w:eastAsia="zh-CN"/>
        </w:rPr>
        <w:t>服务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20"/>
          <w:lang w:val="en-US" w:eastAsia="zh-CN"/>
        </w:rPr>
        <w:t>供给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20"/>
          <w:lang w:eastAsia="zh-CN"/>
        </w:rPr>
        <w:t>。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开展“渝见未来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·职等您来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”系列活动，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分区域组织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市外高校渝籍大学生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交流座谈，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提供形势分析、政策解读、职业指导等服务。深化高校毕业生求职异地“双惠”活动，为来渝求职高校毕业生提供阶段性火车票购票优惠、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住宿优惠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等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服务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。建设“青来渝州”就业创业综合体，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20"/>
          <w:u w:val="none" w:color="auto"/>
        </w:rPr>
        <w:t>集成求职服务、创业孵化、短期免费住宿等功能，全方位支持青年在渝就业创业。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推进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“青年安居工程”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为在渝青年提供租房购房优惠。优化“</w:t>
      </w:r>
      <w:r>
        <w:rPr>
          <w:rFonts w:hint="eastAsia" w:ascii="Times New Roman" w:hAnsi="Times New Roman" w:eastAsia="方正仿宋_GBK" w:cs="方正仿宋_GBK"/>
          <w:b w:val="0"/>
          <w:bCs w:val="0"/>
          <w:color w:val="auto"/>
          <w:kern w:val="2"/>
          <w:sz w:val="32"/>
          <w:szCs w:val="20"/>
          <w:u w:val="none"/>
          <w:shd w:val="clear" w:color="auto" w:fill="auto"/>
          <w:lang w:val="en-US" w:eastAsia="zh-CN" w:bidi="ar-SA"/>
        </w:rPr>
        <w:t>假期公益托管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”服务，开设假期公益托管点位1000个以上，满足青年托育需求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。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依法打击“黑中介”、虚假招聘、就业歧视、滥用试用期等违规违法行为，切实维护青年劳动者合法权益。</w:t>
      </w:r>
    </w:p>
    <w:p w14:paraId="2F892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黑体_GBK" w:cs="方正黑体_GBK"/>
          <w:sz w:val="32"/>
          <w:szCs w:val="20"/>
          <w:lang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20"/>
        </w:rPr>
        <w:t>三、保障措施</w:t>
      </w:r>
    </w:p>
    <w:p w14:paraId="385CB5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20"/>
        </w:rPr>
      </w:pPr>
      <w:r>
        <w:rPr>
          <w:rFonts w:hint="eastAsia" w:ascii="Times New Roman" w:hAnsi="Times New Roman" w:eastAsia="方正仿宋_GBK" w:cs="方正仿宋_GBK"/>
          <w:sz w:val="32"/>
          <w:szCs w:val="20"/>
        </w:rPr>
        <w:t>充分发挥市就业促进和劳动保护工作领导小组作用，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按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区县、行业分解目标任务，</w:t>
      </w: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>实施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“周监测、月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调度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、季评估”工作机制。开展就业状况跟踪调查，对部门、区县、高校就业工作进行综合评价。将任务完成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情况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作为区县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高质量充分就业激励表扬和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分配就业资金重要参考，作为高校资源配置、教育质量评价的重要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参考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。选树一批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在渝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就业创业青年先进典型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，按规定推荐参评有关表彰奖励项目</w:t>
      </w:r>
      <w:r>
        <w:rPr>
          <w:rFonts w:hint="eastAsia" w:ascii="Times New Roman" w:hAnsi="Times New Roman" w:eastAsia="方正仿宋_GBK" w:cs="方正仿宋_GBK"/>
          <w:sz w:val="32"/>
          <w:szCs w:val="20"/>
        </w:rPr>
        <w:t>，营造关心支持青年发展良好氛围。</w:t>
      </w:r>
    </w:p>
    <w:p w14:paraId="58E8B5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</w:pPr>
    </w:p>
    <w:p w14:paraId="3BD77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1580" w:hanging="1580" w:hangingChars="5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20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20"/>
          <w:lang w:val="en-US" w:eastAsia="zh-CN"/>
        </w:rPr>
        <w:t xml:space="preserve">    </w:t>
      </w:r>
      <w:r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  <w:t>附件：</w:t>
      </w:r>
      <w:r>
        <w:rPr>
          <w:rFonts w:hint="eastAsia" w:ascii="Times New Roman" w:hAnsi="Times New Roman" w:eastAsia="方正仿宋_GBK" w:cs="方正仿宋_GBK"/>
          <w:spacing w:val="-3"/>
          <w:sz w:val="32"/>
          <w:szCs w:val="20"/>
          <w:lang w:val="en-US" w:eastAsia="zh-CN"/>
        </w:rPr>
        <w:t>2026年高校毕业生等青年留渝来渝就业创业工作任务</w:t>
      </w:r>
      <w:r>
        <w:rPr>
          <w:rFonts w:hint="eastAsia" w:ascii="Times New Roman" w:hAnsi="Times New Roman" w:eastAsia="方正仿宋_GBK" w:cs="方正仿宋_GBK"/>
          <w:spacing w:val="0"/>
          <w:sz w:val="32"/>
          <w:szCs w:val="20"/>
          <w:lang w:val="en-US" w:eastAsia="zh-CN"/>
        </w:rPr>
        <w:t>分解</w:t>
      </w:r>
    </w:p>
    <w:p w14:paraId="728E2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20"/>
          <w:lang w:val="en-US" w:eastAsia="zh-CN"/>
        </w:rPr>
      </w:pPr>
    </w:p>
    <w:p w14:paraId="4947E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20"/>
          <w:lang w:val="en-US" w:eastAsia="zh-CN"/>
        </w:rPr>
      </w:pPr>
    </w:p>
    <w:p w14:paraId="4BFD4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20"/>
          <w:lang w:val="en-US" w:eastAsia="zh-CN"/>
        </w:rPr>
      </w:pPr>
    </w:p>
    <w:p w14:paraId="51A0A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both"/>
        <w:textAlignment w:val="auto"/>
        <w:rPr>
          <w:rFonts w:hint="eastAsia" w:ascii="Times New Roman" w:hAnsi="Times New Roman" w:eastAsia="方正黑体_GBK" w:cs="方正黑体_GBK"/>
          <w:spacing w:val="0"/>
          <w:sz w:val="32"/>
          <w:szCs w:val="20"/>
          <w:lang w:val="en-US" w:eastAsia="zh-CN"/>
        </w:rPr>
      </w:pPr>
      <w:r>
        <w:rPr>
          <w:rFonts w:hint="eastAsia" w:ascii="Times New Roman" w:hAnsi="Times New Roman" w:eastAsia="方正仿宋_GBK" w:cs="方正仿宋_GBK"/>
          <w:spacing w:val="0"/>
          <w:sz w:val="32"/>
          <w:szCs w:val="20"/>
          <w:lang w:val="en-US" w:eastAsia="zh-CN"/>
        </w:rPr>
        <w:br w:type="page"/>
      </w:r>
      <w:r>
        <w:rPr>
          <w:rFonts w:hint="eastAsia" w:ascii="Times New Roman" w:hAnsi="Times New Roman" w:eastAsia="方正黑体_GBK" w:cs="方正黑体_GBK"/>
          <w:spacing w:val="0"/>
          <w:sz w:val="32"/>
          <w:szCs w:val="20"/>
          <w:lang w:val="en-US" w:eastAsia="zh-CN"/>
        </w:rPr>
        <w:t>附件</w:t>
      </w:r>
    </w:p>
    <w:p w14:paraId="16FD6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jc w:val="both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20"/>
          <w:lang w:val="en-US" w:eastAsia="zh-CN"/>
        </w:rPr>
      </w:pPr>
    </w:p>
    <w:p w14:paraId="549B57A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_GBK" w:cs="方正小标宋_GBK"/>
          <w:i w:val="0"/>
          <w:iCs w:val="0"/>
          <w:color w:val="auto"/>
          <w:sz w:val="44"/>
          <w:szCs w:val="44"/>
          <w:u w:val="none"/>
        </w:rPr>
      </w:pPr>
      <w:r>
        <w:rPr>
          <w:rFonts w:hint="eastAsia" w:ascii="Times New Roman" w:hAnsi="Times New Roman" w:eastAsia="方正小标宋_GBK" w:cs="方正小标宋_GBK"/>
          <w:i w:val="0"/>
          <w:iCs w:val="0"/>
          <w:color w:val="auto"/>
          <w:sz w:val="44"/>
          <w:szCs w:val="44"/>
          <w:u w:val="none"/>
        </w:rPr>
        <w:t>2026年高校毕业生等青年留渝来渝</w:t>
      </w:r>
    </w:p>
    <w:p w14:paraId="0C147C3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_GBK" w:cs="方正小标宋_GBK"/>
          <w:i w:val="0"/>
          <w:iCs w:val="0"/>
          <w:color w:val="000000"/>
          <w:sz w:val="44"/>
          <w:szCs w:val="44"/>
          <w:u w:val="none"/>
        </w:rPr>
      </w:pPr>
      <w:r>
        <w:rPr>
          <w:rFonts w:hint="eastAsia" w:ascii="Times New Roman" w:hAnsi="Times New Roman" w:eastAsia="方正小标宋_GBK" w:cs="方正小标宋_GBK"/>
          <w:i w:val="0"/>
          <w:iCs w:val="0"/>
          <w:color w:val="auto"/>
          <w:sz w:val="44"/>
          <w:szCs w:val="44"/>
          <w:u w:val="none"/>
        </w:rPr>
        <w:t>就业创业工作任务分解</w:t>
      </w:r>
    </w:p>
    <w:p w14:paraId="0C238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方正黑体_GBK" w:cs="方正黑体_GBK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color w:val="000000"/>
          <w:sz w:val="32"/>
          <w:szCs w:val="32"/>
        </w:rPr>
        <w:t>一、</w:t>
      </w:r>
      <w:r>
        <w:rPr>
          <w:rFonts w:hint="eastAsia" w:ascii="Times New Roman" w:hAnsi="Times New Roman" w:eastAsia="方正黑体_GBK" w:cs="方正黑体_GBK"/>
          <w:color w:val="000000"/>
          <w:sz w:val="32"/>
          <w:szCs w:val="32"/>
          <w:lang w:eastAsia="zh-CN"/>
        </w:rPr>
        <w:t>目标体系</w:t>
      </w:r>
    </w:p>
    <w:tbl>
      <w:tblPr>
        <w:tblStyle w:val="4"/>
        <w:tblW w:w="912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2557"/>
        <w:gridCol w:w="1620"/>
        <w:gridCol w:w="1552"/>
        <w:gridCol w:w="2684"/>
      </w:tblGrid>
      <w:tr w14:paraId="29AC1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C931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指标类型</w:t>
            </w: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172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指标名称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72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</w:t>
            </w:r>
          </w:p>
          <w:p w14:paraId="22006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目标值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9B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</w:t>
            </w:r>
          </w:p>
          <w:p w14:paraId="5F297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目标值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DC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责任单位</w:t>
            </w:r>
          </w:p>
        </w:tc>
      </w:tr>
      <w:tr w14:paraId="0AE41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8E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核心指标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CB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高校毕业生等青年留渝来渝就业创业人数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80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40万人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26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40万人</w:t>
            </w:r>
          </w:p>
        </w:tc>
        <w:tc>
          <w:tcPr>
            <w:tcW w:w="2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DB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市人力社保局、市教委等</w:t>
            </w:r>
          </w:p>
        </w:tc>
      </w:tr>
      <w:tr w14:paraId="0E055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87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35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其中，市外来渝人数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F6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6万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69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6万</w:t>
            </w:r>
          </w:p>
        </w:tc>
        <w:tc>
          <w:tcPr>
            <w:tcW w:w="2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773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615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31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7F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2026届高校毕业生离校前毕业去向落实率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C7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≥75%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2D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≥75%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A7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市教委、市人力社保局</w:t>
            </w:r>
          </w:p>
        </w:tc>
      </w:tr>
      <w:tr w14:paraId="09AC7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6C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AC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离校未就业高校毕业生年底帮扶就业率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70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≥90%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7F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≥90%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E3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市人力社保局、市教委等</w:t>
            </w:r>
          </w:p>
        </w:tc>
      </w:tr>
      <w:tr w14:paraId="7F3C9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EA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就业指标</w:t>
            </w: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C1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公务员（含选调生）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A2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2000人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98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2000人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F2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市委组织部</w:t>
            </w:r>
          </w:p>
        </w:tc>
      </w:tr>
      <w:tr w14:paraId="2AC44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B67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44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86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14000人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A5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14000人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F7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市委组织部、市人力社保局</w:t>
            </w:r>
          </w:p>
        </w:tc>
      </w:tr>
      <w:tr w14:paraId="3DA49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2D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78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国有企业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48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10000人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FB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10000人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2A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市国资委等</w:t>
            </w:r>
          </w:p>
        </w:tc>
      </w:tr>
      <w:tr w14:paraId="18DF8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BF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32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科研助理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02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1000人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C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2500人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2E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市科技局、市教委等</w:t>
            </w:r>
          </w:p>
        </w:tc>
      </w:tr>
      <w:tr w14:paraId="7737B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D4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F2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中央和地方基层项目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63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5000人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F4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5000人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8B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市人力社保局、市教委、团市委等</w:t>
            </w:r>
          </w:p>
        </w:tc>
      </w:tr>
      <w:tr w14:paraId="32E83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6A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07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城乡社区基层公共管理和社会服务岗位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B8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4000人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64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2500人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BC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市人力社保局</w:t>
            </w:r>
          </w:p>
        </w:tc>
      </w:tr>
      <w:tr w14:paraId="4FA34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291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15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各高校应届高校毕业生留渝人数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27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20万人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CA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20万人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C1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市教委、市人力社保局</w:t>
            </w:r>
          </w:p>
        </w:tc>
      </w:tr>
      <w:tr w14:paraId="3E24E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7186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创业指标</w:t>
            </w: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7B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发放政策性贷款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68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13亿元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E1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30亿元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7F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市人力社保局、市财政局、人行重庆市分行</w:t>
            </w:r>
          </w:p>
        </w:tc>
      </w:tr>
      <w:tr w14:paraId="54647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FD1A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70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新孵化初创企业数量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DB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F5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1000家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39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市科技局、市人力社保局、市经济信息委</w:t>
            </w:r>
          </w:p>
        </w:tc>
      </w:tr>
      <w:tr w14:paraId="09F59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0AF5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57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新增创新创业人数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0B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D2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1万人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8D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市科技局、市人力社保局、市经济信息委</w:t>
            </w:r>
          </w:p>
        </w:tc>
      </w:tr>
      <w:tr w14:paraId="22601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D82F3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B989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开展创业服务活动场次数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BF77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12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1000场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15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市科技局、市人力社保局、市经济信息委、市教委</w:t>
            </w:r>
          </w:p>
        </w:tc>
      </w:tr>
      <w:tr w14:paraId="4A721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0C47E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培训指标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B3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全年培训高校毕业生等青年人次数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711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3万人次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C0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4万人次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98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市人力社保局、市教委</w:t>
            </w:r>
          </w:p>
        </w:tc>
      </w:tr>
      <w:tr w14:paraId="45A63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35702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58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其中，创业培训人次数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41C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1万人次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62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1万人次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7B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市人力社保局</w:t>
            </w:r>
          </w:p>
        </w:tc>
      </w:tr>
      <w:tr w14:paraId="7248C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5155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4BAD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开发就业见习岗位数量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3A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10万个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40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10万个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B6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市人力社保局等</w:t>
            </w:r>
          </w:p>
        </w:tc>
      </w:tr>
      <w:tr w14:paraId="4FAA4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E4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服务指标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E0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大学生职业体验人数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35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10万人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6E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10万人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AF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市人力社保局、市教委、团市委等</w:t>
            </w:r>
          </w:p>
        </w:tc>
      </w:tr>
      <w:tr w14:paraId="65A86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636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31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离校未就业毕业生联系率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1F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——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6F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100%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AD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市人力社保局</w:t>
            </w:r>
          </w:p>
        </w:tc>
      </w:tr>
      <w:tr w14:paraId="53D10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470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7D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离校未就业毕业生服务率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07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——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FB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≥95%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BC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市人力社保局</w:t>
            </w:r>
          </w:p>
        </w:tc>
      </w:tr>
      <w:tr w14:paraId="6BEA6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80C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D1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市内外高校招引和留渝来渝对接服务活动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C9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60场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40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70场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88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市人力社保局、市教委、各区县人力社保局</w:t>
            </w:r>
          </w:p>
        </w:tc>
      </w:tr>
    </w:tbl>
    <w:p w14:paraId="6A7E9ED3">
      <w:pPr>
        <w:pStyle w:val="3"/>
        <w:keepNext w:val="0"/>
        <w:keepLines w:val="0"/>
        <w:widowControl/>
        <w:suppressLineNumbers w:val="0"/>
        <w:rPr>
          <w:rFonts w:hint="eastAsia"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color w:val="000000"/>
          <w:sz w:val="32"/>
          <w:szCs w:val="32"/>
          <w:lang w:eastAsia="zh-CN"/>
        </w:rPr>
        <w:t>二、</w:t>
      </w:r>
      <w:r>
        <w:rPr>
          <w:rFonts w:hint="eastAsia" w:ascii="Times New Roman" w:hAnsi="Times New Roman" w:eastAsia="方正黑体_GBK" w:cs="方正黑体_GBK"/>
          <w:color w:val="000000"/>
          <w:sz w:val="32"/>
          <w:szCs w:val="32"/>
        </w:rPr>
        <w:t>留渝来渝就业创业区县任务分解</w:t>
      </w:r>
    </w:p>
    <w:tbl>
      <w:tblPr>
        <w:tblStyle w:val="4"/>
        <w:tblW w:w="912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519"/>
        <w:gridCol w:w="1605"/>
        <w:gridCol w:w="1868"/>
        <w:gridCol w:w="1560"/>
        <w:gridCol w:w="1919"/>
      </w:tblGrid>
      <w:tr w14:paraId="002A3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15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C7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区县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0C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</w:t>
            </w:r>
          </w:p>
          <w:p w14:paraId="5F50D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目标值（人）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FC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其中，市外来渝</w:t>
            </w:r>
          </w:p>
          <w:p w14:paraId="00C25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目标值（人）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36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</w:t>
            </w:r>
          </w:p>
          <w:p w14:paraId="6E70E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目标值（人）</w:t>
            </w:r>
          </w:p>
        </w:tc>
        <w:tc>
          <w:tcPr>
            <w:tcW w:w="1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2F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其中，市外来渝</w:t>
            </w:r>
          </w:p>
          <w:p w14:paraId="34B49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目标值（人）</w:t>
            </w:r>
          </w:p>
        </w:tc>
      </w:tr>
      <w:tr w14:paraId="134CC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0C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6E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两江新区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BB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101350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93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20620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AF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101350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DC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20620</w:t>
            </w:r>
          </w:p>
        </w:tc>
      </w:tr>
      <w:tr w14:paraId="33CA1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19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2E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万州区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43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6C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07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75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</w:tr>
      <w:tr w14:paraId="5DC2C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6E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BF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涪陵区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03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AD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C0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8860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7F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</w:t>
            </w:r>
          </w:p>
        </w:tc>
      </w:tr>
      <w:tr w14:paraId="2E7B2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CE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B3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渝中区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FC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32370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BB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E7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A0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4030</w:t>
            </w:r>
          </w:p>
        </w:tc>
      </w:tr>
      <w:tr w14:paraId="66E01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21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B8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大渡口区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FD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0C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DD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10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</w:tr>
      <w:tr w14:paraId="13AED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93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78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沙坪坝区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F2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19790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28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89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19890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F4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2690</w:t>
            </w:r>
          </w:p>
        </w:tc>
      </w:tr>
      <w:tr w14:paraId="6EE33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DA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84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九龙坡区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B4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22520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1C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82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23370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8A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3850</w:t>
            </w:r>
          </w:p>
        </w:tc>
      </w:tr>
      <w:tr w14:paraId="69081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B2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CC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南岸区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14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19700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75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55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3C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3140</w:t>
            </w:r>
          </w:p>
        </w:tc>
      </w:tr>
      <w:tr w14:paraId="309F1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C7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EC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北碚区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4E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6AB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F3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B7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</w:p>
        </w:tc>
      </w:tr>
      <w:tr w14:paraId="22BE0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1B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37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綦江区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FB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C3E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A9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6B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</w:tr>
      <w:tr w14:paraId="4E835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FC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59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大足区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25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BEF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BD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FB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</w:tr>
      <w:tr w14:paraId="48DC5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BB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37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巴南区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9F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A2BF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D2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78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1950</w:t>
            </w:r>
          </w:p>
        </w:tc>
      </w:tr>
      <w:tr w14:paraId="76800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7B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60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黔江区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A6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DC9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C6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E1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</w:tr>
      <w:tr w14:paraId="2A88F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57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1F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长寿区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CC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AA3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B6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BD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</w:t>
            </w:r>
          </w:p>
        </w:tc>
      </w:tr>
      <w:tr w14:paraId="64ED5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04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B9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江津区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53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0AA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D8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A6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2450</w:t>
            </w:r>
          </w:p>
        </w:tc>
      </w:tr>
      <w:tr w14:paraId="73386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48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AB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合川区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71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1C8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68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DD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</w:tr>
      <w:tr w14:paraId="4E3A6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CF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02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永川区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4B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FCB7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7A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EF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2260</w:t>
            </w:r>
          </w:p>
        </w:tc>
      </w:tr>
      <w:tr w14:paraId="7DA98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F8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0F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南川区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3A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FF16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94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11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</w:tr>
      <w:tr w14:paraId="4C8B7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FF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E5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璧山区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ED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9F1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AD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32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1940</w:t>
            </w:r>
          </w:p>
        </w:tc>
      </w:tr>
      <w:tr w14:paraId="33018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10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75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万盛经开区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20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F1C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FD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FE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</w:tr>
      <w:tr w14:paraId="36014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6E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EF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西部科学城重庆高新区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60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16550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77E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9C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CC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3800</w:t>
            </w:r>
          </w:p>
        </w:tc>
      </w:tr>
      <w:tr w14:paraId="2CBAA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45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31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铜梁区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66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017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EA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9E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</w:tr>
      <w:tr w14:paraId="2FAD2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0E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C4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潼南区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BC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D59B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96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D3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</w:tr>
      <w:tr w14:paraId="6B85E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85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96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荣昌区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24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CBF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DF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7A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</w:tr>
      <w:tr w14:paraId="4C50F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F5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A7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开州区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89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CEBB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16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62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 w14:paraId="198FC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38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0E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梁平区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65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E48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FB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DC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 w14:paraId="73331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C2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6B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武隆区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C9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FD8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C7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5E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 w14:paraId="68169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2F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EA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城口县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78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9015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B2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8A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 w14:paraId="6987D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5C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C2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D1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B6D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7B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54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</w:tr>
      <w:tr w14:paraId="5A9CC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8D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FB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垫江县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B5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CF4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98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16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</w:tr>
      <w:tr w14:paraId="0DC0B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20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C4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忠县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77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1DD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B8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A6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 w14:paraId="2F9B7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C3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8A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云阳县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D4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1F7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71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C8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 w14:paraId="59405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59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77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奉节县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58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330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83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CA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 w14:paraId="659CE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D9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0D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巫山县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09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7161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44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7A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 w14:paraId="1424A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52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E4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巫溪县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26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B62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D5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89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 w14:paraId="0A5A9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3F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0B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石柱县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96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D1D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A4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E7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</w:tr>
      <w:tr w14:paraId="24BB2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64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BF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秀山县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AF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E94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C4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44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  <w:tr w14:paraId="2CDF2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9D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8F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酉阳县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1E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E3A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70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1F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</w:tr>
      <w:tr w14:paraId="56291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39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D8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彭水县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B7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2940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11D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FB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3400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3E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</w:tr>
    </w:tbl>
    <w:p w14:paraId="5DE32D90">
      <w:pPr>
        <w:pStyle w:val="3"/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方正黑体_GBK" w:cs="方正黑体_GBK"/>
        </w:rPr>
      </w:pPr>
      <w:r>
        <w:rPr>
          <w:rFonts w:hint="eastAsia" w:ascii="Times New Roman" w:hAnsi="Times New Roman" w:eastAsia="方正黑体_GBK" w:cs="方正黑体_GBK"/>
          <w:color w:val="000000"/>
          <w:sz w:val="32"/>
          <w:szCs w:val="32"/>
          <w:lang w:eastAsia="zh-CN"/>
        </w:rPr>
        <w:t>三、</w:t>
      </w:r>
      <w:r>
        <w:rPr>
          <w:rFonts w:hint="eastAsia" w:ascii="Times New Roman" w:hAnsi="Times New Roman" w:eastAsia="方正黑体_GBK" w:cs="方正黑体_GBK"/>
          <w:color w:val="000000"/>
          <w:sz w:val="32"/>
          <w:szCs w:val="32"/>
        </w:rPr>
        <w:t>留渝来渝就业创业市级部门任务分解</w:t>
      </w:r>
    </w:p>
    <w:tbl>
      <w:tblPr>
        <w:tblStyle w:val="4"/>
        <w:tblW w:w="91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3084"/>
        <w:gridCol w:w="1688"/>
        <w:gridCol w:w="1836"/>
        <w:gridCol w:w="1825"/>
      </w:tblGrid>
      <w:tr w14:paraId="59427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0B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91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    业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D21C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</w:t>
            </w:r>
          </w:p>
          <w:p w14:paraId="71509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目标值（人）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F3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</w:t>
            </w:r>
          </w:p>
          <w:p w14:paraId="4ED35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目标值（人）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4D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责任部门</w:t>
            </w:r>
          </w:p>
        </w:tc>
      </w:tr>
      <w:tr w14:paraId="4942F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A6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16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农、林、牧、渔业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17EA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1A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9E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市农业农村委</w:t>
            </w:r>
          </w:p>
        </w:tc>
      </w:tr>
      <w:tr w14:paraId="4A325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15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2F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采矿业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FA7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4C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63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市经济信息委</w:t>
            </w:r>
          </w:p>
        </w:tc>
      </w:tr>
      <w:tr w14:paraId="0BA21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F7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F0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制造业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C38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13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25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市经济信息委</w:t>
            </w:r>
          </w:p>
        </w:tc>
      </w:tr>
      <w:tr w14:paraId="1B69C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26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B4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电力、热力、燃气及水生产和供应业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DB76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7A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50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市发展改革委</w:t>
            </w:r>
          </w:p>
        </w:tc>
      </w:tr>
      <w:tr w14:paraId="39BD8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6A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78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建筑业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838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94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94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市住房城乡建委</w:t>
            </w:r>
          </w:p>
        </w:tc>
      </w:tr>
      <w:tr w14:paraId="19E8C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E7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4D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批发和零售业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8CA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43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2A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市商务委</w:t>
            </w:r>
          </w:p>
        </w:tc>
      </w:tr>
      <w:tr w14:paraId="7E58A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EC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5F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交通运输、仓储和邮政业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CE71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36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97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市交通运输委、市邮政管理局</w:t>
            </w:r>
          </w:p>
        </w:tc>
      </w:tr>
      <w:tr w14:paraId="123D3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4E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E4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住宿和餐饮业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1C7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7B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8A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市商务委</w:t>
            </w:r>
          </w:p>
        </w:tc>
      </w:tr>
      <w:tr w14:paraId="01694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A3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6F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信息传输、软件和信息技术服务业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4E16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42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A6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市经济信息委</w:t>
            </w:r>
          </w:p>
        </w:tc>
      </w:tr>
      <w:tr w14:paraId="3793B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3B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E2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金融业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EAC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CC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B2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市委金融办</w:t>
            </w:r>
          </w:p>
        </w:tc>
      </w:tr>
      <w:tr w14:paraId="38345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4E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2F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房地产业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F5E0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78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20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市住房城乡建委</w:t>
            </w:r>
          </w:p>
        </w:tc>
      </w:tr>
      <w:tr w14:paraId="22B56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1F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EE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租赁和商务服务业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07D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86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27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市商务委、市人力社保局</w:t>
            </w:r>
          </w:p>
        </w:tc>
      </w:tr>
      <w:tr w14:paraId="5A49F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08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41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科学研究和技术服务业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2766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0E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1B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市科技局</w:t>
            </w:r>
          </w:p>
        </w:tc>
      </w:tr>
      <w:tr w14:paraId="666A5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A7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2E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水利、环境和公共设施管理业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75D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C7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A8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市城市管理局、市水利局</w:t>
            </w:r>
          </w:p>
        </w:tc>
      </w:tr>
      <w:tr w14:paraId="5F999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E2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EE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居民服务、修理和其他服务业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D95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AB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2F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市商务委</w:t>
            </w:r>
          </w:p>
        </w:tc>
      </w:tr>
      <w:tr w14:paraId="1633C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03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AB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687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6D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A1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市教委</w:t>
            </w:r>
          </w:p>
        </w:tc>
      </w:tr>
      <w:tr w14:paraId="2B165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2C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C3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卫生和社会工作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7BBD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E6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53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市卫生健康委</w:t>
            </w:r>
          </w:p>
        </w:tc>
      </w:tr>
      <w:tr w14:paraId="10124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63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DF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文化、体育和娱乐业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2C7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C6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3E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市文化旅游委、市体育局</w:t>
            </w:r>
          </w:p>
        </w:tc>
      </w:tr>
      <w:tr w14:paraId="71BBE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65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EC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公共管理、社会保障和社会组织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E98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51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18000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36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市民政局、市人力社保局</w:t>
            </w:r>
          </w:p>
        </w:tc>
      </w:tr>
    </w:tbl>
    <w:p w14:paraId="2B933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jc w:val="both"/>
        <w:textAlignment w:val="auto"/>
        <w:rPr>
          <w:rFonts w:hint="eastAsia" w:ascii="Times New Roman" w:hAnsi="Times New Roman" w:eastAsia="方正仿宋_GBK" w:cs="方正仿宋_GBK"/>
          <w:sz w:val="32"/>
          <w:szCs w:val="20"/>
          <w:lang w:eastAsia="zh-CN"/>
        </w:rPr>
      </w:pPr>
    </w:p>
    <w:p w14:paraId="065B4E48"/>
    <w:p w14:paraId="6BACAAC3"/>
    <w:p w14:paraId="02C91494"/>
    <w:p w14:paraId="54AF0F57">
      <w:pPr>
        <w:rPr>
          <w:rFonts w:hint="eastAsia" w:ascii="Times New Roman" w:hAnsi="Times New Roman" w:eastAsia="方正仿宋_GBK" w:cs="方正仿宋_GBK"/>
          <w:sz w:val="32"/>
          <w:szCs w:val="32"/>
        </w:rPr>
      </w:pPr>
    </w:p>
    <w:p w14:paraId="7ED88DF1">
      <w:pPr>
        <w:rPr>
          <w:rFonts w:hint="eastAsia" w:ascii="Times New Roman" w:hAnsi="Times New Roman" w:eastAsia="方正仿宋_GBK" w:cs="方正仿宋_GBK"/>
          <w:sz w:val="32"/>
          <w:szCs w:val="32"/>
        </w:rPr>
      </w:pPr>
    </w:p>
    <w:tbl>
      <w:tblPr>
        <w:tblStyle w:val="4"/>
        <w:tblW w:w="8820" w:type="dxa"/>
        <w:tblInd w:w="108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5"/>
        <w:gridCol w:w="2875"/>
      </w:tblGrid>
      <w:tr w14:paraId="6B30939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820" w:type="dxa"/>
            <w:gridSpan w:val="2"/>
            <w:noWrap w:val="0"/>
            <w:vAlign w:val="center"/>
          </w:tcPr>
          <w:p w14:paraId="38A62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/>
              <w:textAlignment w:val="auto"/>
              <w:rPr>
                <w:rFonts w:hint="eastAsia"/>
              </w:rPr>
            </w:pPr>
          </w:p>
        </w:tc>
      </w:tr>
      <w:tr w14:paraId="072029E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820" w:type="dxa"/>
            <w:gridSpan w:val="2"/>
            <w:noWrap w:val="0"/>
            <w:vAlign w:val="center"/>
          </w:tcPr>
          <w:p w14:paraId="514CB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ind w:left="1104" w:leftChars="0" w:hanging="1104" w:hangingChars="400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eastAsia="方正仿宋_GBK" w:cs="方正仿宋_GBK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抄送：</w:t>
            </w:r>
            <w:r>
              <w:rPr>
                <w:rFonts w:hint="eastAsia" w:ascii="Times New Roman" w:hAnsi="Times New Roman" w:eastAsia="方正仿宋_GBK" w:cs="方正仿宋_GBK"/>
                <w:spacing w:val="-8"/>
                <w:sz w:val="28"/>
                <w:szCs w:val="28"/>
                <w:lang w:eastAsia="zh-CN"/>
              </w:rPr>
              <w:t>各区县（自治县）人民政府、西部科学城重庆高新区管委会、万盛经开区管委会。</w:t>
            </w:r>
          </w:p>
        </w:tc>
      </w:tr>
      <w:tr w14:paraId="4432DFE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5945" w:type="dxa"/>
            <w:tcBorders>
              <w:right w:val="nil"/>
            </w:tcBorders>
            <w:noWrap w:val="0"/>
            <w:vAlign w:val="center"/>
          </w:tcPr>
          <w:p w14:paraId="408BE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248" w:firstLineChars="100"/>
              <w:textAlignment w:val="auto"/>
              <w:rPr>
                <w:rFonts w:hint="eastAsia" w:ascii="Times New Roman" w:hAnsi="Times New Roman" w:eastAsia="方正仿宋_GBK" w:cs="方正仿宋_GBK"/>
                <w:spacing w:val="-20"/>
                <w:w w:val="90"/>
                <w:sz w:val="28"/>
                <w:szCs w:val="28"/>
              </w:rPr>
            </w:pPr>
            <w:r>
              <w:rPr>
                <w:rFonts w:hint="eastAsia" w:ascii="Times New Roman" w:eastAsia="方正仿宋_GBK"/>
                <w:w w:val="90"/>
                <w:sz w:val="28"/>
                <w:szCs w:val="28"/>
              </w:rPr>
              <w:t>重庆市就业促进和劳动保护工作领导小组办公室</w:t>
            </w:r>
          </w:p>
        </w:tc>
        <w:tc>
          <w:tcPr>
            <w:tcW w:w="2875" w:type="dxa"/>
            <w:tcBorders>
              <w:top w:val="single" w:color="auto" w:sz="4" w:space="0"/>
              <w:left w:val="nil"/>
            </w:tcBorders>
            <w:noWrap w:val="0"/>
            <w:vAlign w:val="center"/>
          </w:tcPr>
          <w:p w14:paraId="3A999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/>
              <w:ind w:left="0" w:leftChars="0" w:right="158" w:rightChars="50"/>
              <w:jc w:val="right"/>
              <w:textAlignment w:val="auto"/>
              <w:rPr>
                <w:rFonts w:hint="eastAsia" w:ascii="Times New Roman" w:hAnsi="Times New Roman" w:eastAsia="方正仿宋_GBK" w:cs="方正仿宋_GBK"/>
                <w:w w:val="90"/>
                <w:sz w:val="28"/>
                <w:szCs w:val="28"/>
              </w:rPr>
            </w:pPr>
            <w:r>
              <w:rPr>
                <w:rFonts w:hint="eastAsia" w:eastAsia="方正仿宋_GBK" w:cs="Times New Roman"/>
                <w:w w:val="90"/>
                <w:sz w:val="28"/>
                <w:szCs w:val="28"/>
                <w:lang w:eastAsia="zh-CN"/>
              </w:rPr>
              <w:t>2026年3月13日</w:t>
            </w:r>
            <w:r>
              <w:rPr>
                <w:rFonts w:hint="eastAsia" w:ascii="Times New Roman" w:hAnsi="Times New Roman" w:eastAsia="方正仿宋_GBK" w:cs="方正仿宋_GBK"/>
                <w:w w:val="90"/>
                <w:sz w:val="28"/>
                <w:szCs w:val="28"/>
              </w:rPr>
              <w:t>印发</w:t>
            </w:r>
          </w:p>
        </w:tc>
      </w:tr>
    </w:tbl>
    <w:p w14:paraId="04A2C808">
      <w:pPr>
        <w:rPr>
          <w:b w:val="0"/>
          <w:bCs w:val="0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1701" w:footer="1134" w:gutter="0"/>
      <w:pgNumType w:fmt="numberInDas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方正仿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04F52">
    <w:pPr>
      <w:pStyle w:val="2"/>
      <w:ind w:right="339"/>
      <w:jc w:val="right"/>
      <w:rPr>
        <w:rFonts w:hint="eastAsia"/>
        <w:sz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449CF7">
                          <w:pPr>
                            <w:pStyle w:val="2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449CF7">
                    <w:pPr>
                      <w:pStyle w:val="2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869B1">
    <w:pPr>
      <w:pStyle w:val="2"/>
      <w:ind w:firstLine="315"/>
      <w:rPr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539D5FB">
                          <w:pPr>
                            <w:pStyle w:val="2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39D5FB">
                    <w:pPr>
                      <w:pStyle w:val="2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437A17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240" w:lineRule="exact"/>
      <w:ind w:left="0" w:leftChars="0" w:right="0" w:rightChars="0" w:firstLine="0" w:firstLineChars="0"/>
      <w:jc w:val="both"/>
      <w:textAlignment w:val="auto"/>
      <w:outlineLvl w:val="9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C64A5F"/>
    <w:rsid w:val="65C6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2026-03-23T07:19:00Z</dcterms:created>
  <dc:creator>天佑酸奶</dc:creator>
  <cp:lastModifiedBy>天佑酸奶</cp:lastModifiedBy>
  <dcterms:modified xsi:type="dcterms:W3CDTF">2026-03-23T07:31:39Z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E89D6540D22D4E47B81C19222DDD224C_11</vt:lpwstr>
  </property>
  <property fmtid="{D5CDD505-2E9C-101B-9397-08002B2CF9AE}" pid="4" name="KSOTemplateDocerSaveRecord">
    <vt:lpwstr>eyJoZGlkIjoiYzkzZWI0NzFiMzRhNWJmNDI1ZDIxMDM0ZGJmZTBmNTQiLCJ1c2VySWQiOiIzNzg2NjU2MzEifQ==</vt:lpwstr>
  </property>
</Properties>
</file>