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仿宋" w:hAnsi="仿宋" w:eastAsia="仿宋"/>
          <w:b/>
          <w:color w:val="000000" w:themeColor="text1"/>
          <w:sz w:val="44"/>
          <w:szCs w:val="44"/>
          <w14:textFill>
            <w14:solidFill>
              <w14:schemeClr w14:val="tx1"/>
            </w14:solidFill>
          </w14:textFill>
        </w:rPr>
      </w:pPr>
      <w:bookmarkStart w:id="0" w:name="_Hlk38472698"/>
      <w:r>
        <w:drawing>
          <wp:inline distT="0" distB="0" distL="0" distR="0">
            <wp:extent cx="5941060" cy="13246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1000" w:lineRule="exact"/>
        <w:jc w:val="center"/>
        <w:rPr>
          <w:rFonts w:hint="eastAsia" w:ascii="仿宋" w:hAnsi="仿宋" w:eastAsia="仿宋"/>
          <w:b/>
          <w:color w:val="000000" w:themeColor="text1"/>
          <w:sz w:val="52"/>
          <w:szCs w:val="52"/>
          <w:lang w:val="en-US" w:eastAsia="zh-CN"/>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w:t>
      </w:r>
      <w:bookmarkStart w:id="1" w:name="_Hlk46844340"/>
      <w:r>
        <w:rPr>
          <w:rFonts w:hint="eastAsia" w:ascii="仿宋" w:hAnsi="仿宋" w:eastAsia="仿宋"/>
          <w:b/>
          <w:color w:val="000000" w:themeColor="text1"/>
          <w:sz w:val="52"/>
          <w:szCs w:val="52"/>
          <w:lang w:val="en-US" w:eastAsia="zh-CN"/>
          <w14:textFill>
            <w14:solidFill>
              <w14:schemeClr w14:val="tx1"/>
            </w14:solidFill>
          </w14:textFill>
        </w:rPr>
        <w:t>2021年</w:t>
      </w:r>
      <w:r>
        <w:rPr>
          <w:rFonts w:hint="eastAsia" w:ascii="仿宋" w:hAnsi="仿宋" w:eastAsia="仿宋"/>
          <w:b/>
          <w:color w:val="000000" w:themeColor="text1"/>
          <w:sz w:val="52"/>
          <w:szCs w:val="52"/>
          <w14:textFill>
            <w14:solidFill>
              <w14:schemeClr w14:val="tx1"/>
            </w14:solidFill>
          </w14:textFill>
        </w:rPr>
        <w:t>舞蹈实验室建设项目</w:t>
      </w:r>
      <w:bookmarkEnd w:id="1"/>
      <w:r>
        <w:rPr>
          <w:rFonts w:hint="eastAsia" w:ascii="仿宋" w:hAnsi="仿宋" w:eastAsia="仿宋"/>
          <w:b/>
          <w:color w:val="000000" w:themeColor="text1"/>
          <w:sz w:val="52"/>
          <w:szCs w:val="52"/>
          <w:lang w:eastAsia="zh-CN"/>
          <w14:textFill>
            <w14:solidFill>
              <w14:schemeClr w14:val="tx1"/>
            </w14:solidFill>
          </w14:textFill>
        </w:rPr>
        <w:t>（</w:t>
      </w:r>
      <w:r>
        <w:rPr>
          <w:rFonts w:hint="eastAsia" w:ascii="仿宋" w:hAnsi="仿宋" w:eastAsia="仿宋"/>
          <w:b/>
          <w:color w:val="000000" w:themeColor="text1"/>
          <w:sz w:val="52"/>
          <w:szCs w:val="52"/>
          <w:lang w:val="en-US" w:eastAsia="zh-CN"/>
          <w14:textFill>
            <w14:solidFill>
              <w14:schemeClr w14:val="tx1"/>
            </w14:solidFill>
          </w14:textFill>
        </w:rPr>
        <w:t>二次</w:t>
      </w:r>
      <w:r>
        <w:rPr>
          <w:rFonts w:hint="eastAsia" w:ascii="仿宋" w:hAnsi="仿宋" w:eastAsia="仿宋"/>
          <w:b/>
          <w:color w:val="000000" w:themeColor="text1"/>
          <w:sz w:val="52"/>
          <w:szCs w:val="52"/>
          <w:lang w:eastAsia="zh-CN"/>
          <w14:textFill>
            <w14:solidFill>
              <w14:schemeClr w14:val="tx1"/>
            </w14:solidFill>
          </w14:textFill>
        </w:rPr>
        <w:t>）</w:t>
      </w:r>
    </w:p>
    <w:bookmarkEnd w:id="0"/>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00" w:lineRule="exact"/>
        <w:ind w:left="2200" w:leftChars="1000"/>
        <w:textAlignment w:val="auto"/>
        <w:rPr>
          <w:rFonts w:ascii="仿宋" w:hAnsi="仿宋" w:eastAsia="仿宋"/>
          <w:b/>
          <w:sz w:val="36"/>
          <w:szCs w:val="36"/>
        </w:rPr>
      </w:pPr>
      <w:r>
        <w:rPr>
          <w:rFonts w:hint="eastAsia" w:ascii="仿宋" w:hAnsi="仿宋" w:eastAsia="仿宋"/>
          <w:b/>
          <w:sz w:val="36"/>
          <w:szCs w:val="36"/>
        </w:rPr>
        <w:t>项目编号：</w:t>
      </w:r>
      <w:bookmarkStart w:id="2" w:name="_Toc160880485"/>
      <w:bookmarkStart w:id="3" w:name="_Toc169332792"/>
      <w:bookmarkStart w:id="4" w:name="_Toc160880118"/>
      <w:r>
        <w:rPr>
          <w:rFonts w:hint="eastAsia" w:ascii="仿宋" w:hAnsi="仿宋" w:eastAsia="仿宋"/>
          <w:b/>
          <w:sz w:val="36"/>
          <w:szCs w:val="36"/>
        </w:rPr>
        <w:t>ZWC-2021037</w:t>
      </w:r>
    </w:p>
    <w:p>
      <w:pPr>
        <w:keepNext w:val="0"/>
        <w:keepLines w:val="0"/>
        <w:pageBreakBefore w:val="0"/>
        <w:widowControl/>
        <w:kinsoku/>
        <w:wordWrap/>
        <w:overflowPunct/>
        <w:topLinePunct w:val="0"/>
        <w:autoSpaceDE/>
        <w:autoSpaceDN/>
        <w:bidi w:val="0"/>
        <w:adjustRightInd/>
        <w:snapToGrid/>
        <w:spacing w:line="500" w:lineRule="exact"/>
        <w:ind w:left="2200" w:leftChars="1000"/>
        <w:textAlignment w:val="auto"/>
        <w:rPr>
          <w:rFonts w:hint="eastAsia" w:ascii="仿宋" w:hAnsi="仿宋" w:eastAsia="仿宋"/>
          <w:b/>
          <w:sz w:val="36"/>
          <w:szCs w:val="36"/>
          <w:lang w:eastAsia="zh-CN"/>
        </w:rPr>
      </w:pPr>
      <w:r>
        <w:rPr>
          <w:rFonts w:hint="eastAsia" w:ascii="仿宋" w:hAnsi="仿宋" w:eastAsia="仿宋"/>
          <w:b/>
          <w:sz w:val="36"/>
          <w:szCs w:val="36"/>
        </w:rPr>
        <w:t>项目名称</w:t>
      </w:r>
      <w:bookmarkEnd w:id="2"/>
      <w:bookmarkEnd w:id="3"/>
      <w:bookmarkEnd w:id="4"/>
      <w:r>
        <w:rPr>
          <w:rFonts w:hint="eastAsia" w:ascii="仿宋" w:hAnsi="仿宋" w:eastAsia="仿宋"/>
          <w:b/>
          <w:sz w:val="36"/>
          <w:szCs w:val="36"/>
        </w:rPr>
        <w:t>：2021年舞蹈实验室建设</w:t>
      </w:r>
      <w:r>
        <w:rPr>
          <w:rFonts w:hint="eastAsia" w:ascii="仿宋" w:hAnsi="仿宋" w:eastAsia="仿宋"/>
          <w:b/>
          <w:sz w:val="36"/>
          <w:szCs w:val="36"/>
          <w:lang w:val="en-US" w:eastAsia="zh-CN"/>
        </w:rPr>
        <w:t>项目</w:t>
      </w:r>
      <w:r>
        <w:rPr>
          <w:rFonts w:hint="eastAsia" w:ascii="仿宋" w:hAnsi="仿宋" w:eastAsia="仿宋"/>
          <w:b/>
          <w:sz w:val="36"/>
          <w:szCs w:val="36"/>
          <w:lang w:eastAsia="zh-CN"/>
        </w:rPr>
        <w:t>（</w:t>
      </w:r>
      <w:r>
        <w:rPr>
          <w:rFonts w:hint="eastAsia" w:ascii="仿宋" w:hAnsi="仿宋" w:eastAsia="仿宋"/>
          <w:b/>
          <w:sz w:val="36"/>
          <w:szCs w:val="36"/>
          <w:lang w:val="en-US" w:eastAsia="zh-CN"/>
        </w:rPr>
        <w:t>二次</w:t>
      </w:r>
      <w:r>
        <w:rPr>
          <w:rFonts w:hint="eastAsia" w:ascii="仿宋" w:hAnsi="仿宋" w:eastAsia="仿宋"/>
          <w:b/>
          <w:sz w:val="36"/>
          <w:szCs w:val="36"/>
          <w:lang w:eastAsia="zh-CN"/>
        </w:rPr>
        <w:t>）</w:t>
      </w:r>
    </w:p>
    <w:p>
      <w:pPr>
        <w:rPr>
          <w:rFonts w:ascii="仿宋" w:hAnsi="仿宋" w:eastAsia="仿宋"/>
          <w:sz w:val="24"/>
        </w:rPr>
      </w:pPr>
      <w:r>
        <w:rPr>
          <w:rFonts w:hint="eastAsia" w:ascii="仿宋" w:hAnsi="仿宋" w:eastAsia="仿宋"/>
          <w:sz w:val="24"/>
        </w:rPr>
        <w:br w:type="page"/>
      </w:r>
    </w:p>
    <w:p>
      <w:pPr>
        <w:spacing w:line="500" w:lineRule="exact"/>
        <w:ind w:firstLine="2849" w:firstLineChars="645"/>
        <w:rPr>
          <w:rFonts w:ascii="仿宋" w:hAnsi="仿宋" w:eastAsia="仿宋"/>
          <w:b/>
          <w:sz w:val="44"/>
          <w:szCs w:val="44"/>
        </w:rPr>
      </w:pPr>
      <w:bookmarkStart w:id="5" w:name="_Hlk67754059"/>
      <w:r>
        <w:rPr>
          <w:rFonts w:hint="eastAsia" w:ascii="仿宋" w:hAnsi="仿宋" w:eastAsia="仿宋"/>
          <w:b/>
          <w:sz w:val="44"/>
          <w:szCs w:val="44"/>
        </w:rPr>
        <w:t>一、询价邀请函</w:t>
      </w:r>
    </w:p>
    <w:bookmarkEnd w:id="5"/>
    <w:p>
      <w:pPr>
        <w:spacing w:after="0" w:line="500" w:lineRule="exact"/>
        <w:ind w:firstLine="560" w:firstLineChars="200"/>
        <w:rPr>
          <w:rFonts w:ascii="仿宋" w:hAnsi="仿宋" w:eastAsia="仿宋"/>
          <w:sz w:val="28"/>
          <w:szCs w:val="28"/>
        </w:rPr>
      </w:pPr>
      <w:bookmarkStart w:id="6"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1.5万人。根据需要，钢琴教学实验室建设项目进行公开询价，欢迎国内合格参与人参与。</w:t>
      </w:r>
    </w:p>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一、项目说明</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项目编号：ZWC-2021037</w:t>
      </w:r>
    </w:p>
    <w:p>
      <w:pPr>
        <w:widowControl w:val="0"/>
        <w:tabs>
          <w:tab w:val="left" w:pos="839"/>
          <w:tab w:val="left" w:pos="1469"/>
        </w:tabs>
        <w:spacing w:after="0" w:line="500" w:lineRule="exact"/>
        <w:rPr>
          <w:rFonts w:hint="eastAsia" w:ascii="仿宋" w:hAnsi="仿宋" w:eastAsia="仿宋"/>
          <w:color w:val="000000" w:themeColor="text1"/>
          <w:sz w:val="28"/>
          <w:szCs w:val="28"/>
          <w:lang w:eastAsia="zh-CN"/>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项目名称：2021年</w:t>
      </w:r>
      <w:r>
        <w:rPr>
          <w:rFonts w:hint="eastAsia" w:ascii="仿宋" w:hAnsi="仿宋" w:eastAsia="仿宋"/>
          <w:color w:val="000000"/>
          <w:sz w:val="28"/>
          <w:szCs w:val="28"/>
        </w:rPr>
        <w:t>舞蹈实验室建设</w:t>
      </w:r>
      <w:r>
        <w:rPr>
          <w:rFonts w:hint="eastAsia" w:ascii="仿宋" w:hAnsi="仿宋" w:eastAsia="仿宋"/>
          <w:color w:val="000000" w:themeColor="text1"/>
          <w:sz w:val="28"/>
          <w:szCs w:val="28"/>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二次</w:t>
      </w:r>
      <w:r>
        <w:rPr>
          <w:rFonts w:hint="eastAsia" w:ascii="仿宋" w:hAnsi="仿宋" w:eastAsia="仿宋"/>
          <w:color w:val="000000" w:themeColor="text1"/>
          <w:sz w:val="28"/>
          <w:szCs w:val="28"/>
          <w:lang w:eastAsia="zh-CN"/>
          <w14:textFill>
            <w14:solidFill>
              <w14:schemeClr w14:val="tx1"/>
            </w14:solidFill>
          </w14:textFill>
        </w:rPr>
        <w:t>）</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数量及主要技术要求:</w:t>
      </w:r>
      <w:r>
        <w:rPr>
          <w:rFonts w:hint="eastAsia" w:ascii="仿宋" w:hAnsi="仿宋" w:eastAsia="仿宋"/>
          <w:color w:val="000000" w:themeColor="text1"/>
          <w:sz w:val="28"/>
          <w:szCs w:val="28"/>
          <w:lang w:val="en-US" w:eastAsia="zh-CN"/>
          <w14:textFill>
            <w14:solidFill>
              <w14:schemeClr w14:val="tx1"/>
            </w14:solidFill>
          </w14:textFill>
        </w:rPr>
        <w:t>舞蹈实验室1间，</w:t>
      </w:r>
      <w:r>
        <w:rPr>
          <w:rFonts w:hint="eastAsia" w:ascii="仿宋" w:hAnsi="仿宋" w:eastAsia="仿宋"/>
          <w:color w:val="000000" w:themeColor="text1"/>
          <w:sz w:val="28"/>
          <w:szCs w:val="28"/>
          <w14:textFill>
            <w14:solidFill>
              <w14:schemeClr w14:val="tx1"/>
            </w14:solidFill>
          </w14:textFill>
        </w:rPr>
        <w:t>详见《公开询价一览表》</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4.</w:t>
      </w:r>
      <w:r>
        <w:rPr>
          <w:rFonts w:hint="eastAsia" w:ascii="仿宋" w:hAnsi="仿宋" w:eastAsia="仿宋"/>
          <w:color w:val="000000" w:themeColor="text1"/>
          <w:sz w:val="28"/>
          <w:szCs w:val="28"/>
          <w14:textFill>
            <w14:solidFill>
              <w14:schemeClr w14:val="tx1"/>
            </w14:solidFill>
          </w14:textFill>
        </w:rPr>
        <w:t>参与人资格标准：</w:t>
      </w:r>
      <w:r>
        <w:rPr>
          <w:rFonts w:ascii="仿宋" w:hAnsi="仿宋" w:eastAsia="仿宋"/>
          <w:color w:val="000000" w:themeColor="text1"/>
          <w:sz w:val="28"/>
          <w:szCs w:val="28"/>
          <w14:textFill>
            <w14:solidFill>
              <w14:schemeClr w14:val="tx1"/>
            </w14:solidFill>
          </w14:textFill>
        </w:rPr>
        <w:t xml:space="preserve"> </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（1）参与人应具有独立法人资格，具有相关工程装修、维修经营范围。</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（3）参与人应遵守中国的有关法律、法规和规章的规定。</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（4）参与人具有三年以上（包括三年）3个以上同类项目销售和良好的售后服务应用成功案例（提供文字或图片),近三年未发生重大安全或质量事故。</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（5）参与人须有良好的商业信誉和健全的财务制度。</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（6）参与人有依法缴纳税金的良好记录。</w:t>
      </w:r>
    </w:p>
    <w:p>
      <w:pPr>
        <w:pStyle w:val="62"/>
        <w:spacing w:after="0" w:line="400" w:lineRule="exact"/>
        <w:ind w:left="709" w:hanging="709" w:firstLineChars="0"/>
        <w:jc w:val="left"/>
        <w:rPr>
          <w:rFonts w:ascii="仿宋" w:hAnsi="仿宋" w:eastAsia="仿宋"/>
          <w:sz w:val="28"/>
          <w:szCs w:val="28"/>
        </w:rPr>
      </w:pPr>
      <w:r>
        <w:rPr>
          <w:rFonts w:hint="eastAsia" w:ascii="仿宋" w:hAnsi="仿宋" w:eastAsia="仿宋"/>
          <w:sz w:val="28"/>
          <w:szCs w:val="28"/>
        </w:rPr>
        <w:t>（7）参与人应提供下列资格证明文件，否则其响应文件将被拒绝：</w:t>
      </w:r>
    </w:p>
    <w:p>
      <w:pPr>
        <w:widowControl w:val="0"/>
        <w:tabs>
          <w:tab w:val="left" w:pos="839"/>
          <w:tab w:val="left" w:pos="1469"/>
        </w:tabs>
        <w:spacing w:after="0" w:line="500" w:lineRule="exact"/>
        <w:ind w:left="660" w:leftChars="300"/>
        <w:rPr>
          <w:rFonts w:ascii="仿宋" w:hAnsi="仿宋" w:eastAsia="仿宋"/>
          <w:sz w:val="28"/>
          <w:szCs w:val="28"/>
        </w:rPr>
      </w:pPr>
      <w:r>
        <w:rPr>
          <w:rFonts w:hint="eastAsia" w:ascii="仿宋" w:hAnsi="仿宋" w:eastAsia="仿宋"/>
          <w:sz w:val="28"/>
          <w:szCs w:val="28"/>
        </w:rPr>
        <w:t>1）营业执照副本、税务登记证副本、组织机构代码证副本(三证合一的只需提供带有社会信用代码的营业执照)；</w:t>
      </w:r>
    </w:p>
    <w:p>
      <w:pPr>
        <w:widowControl w:val="0"/>
        <w:tabs>
          <w:tab w:val="left" w:pos="839"/>
          <w:tab w:val="left" w:pos="1469"/>
        </w:tabs>
        <w:spacing w:after="0" w:line="500" w:lineRule="exact"/>
        <w:ind w:left="660" w:leftChars="300"/>
        <w:rPr>
          <w:rFonts w:ascii="仿宋" w:hAnsi="仿宋" w:eastAsia="仿宋"/>
          <w:sz w:val="28"/>
          <w:szCs w:val="28"/>
        </w:rPr>
      </w:pPr>
      <w:r>
        <w:rPr>
          <w:rFonts w:hint="eastAsia" w:ascii="仿宋" w:hAnsi="仿宋" w:eastAsia="仿宋"/>
          <w:sz w:val="28"/>
          <w:szCs w:val="28"/>
        </w:rPr>
        <w:t>2）授权代理商需提供厂家授权证明；</w:t>
      </w:r>
    </w:p>
    <w:p>
      <w:pPr>
        <w:widowControl w:val="0"/>
        <w:tabs>
          <w:tab w:val="left" w:pos="839"/>
          <w:tab w:val="left" w:pos="1469"/>
        </w:tabs>
        <w:spacing w:after="0" w:line="500" w:lineRule="exact"/>
        <w:ind w:left="660" w:leftChars="300"/>
        <w:rPr>
          <w:rFonts w:ascii="仿宋" w:hAnsi="仿宋" w:eastAsia="仿宋"/>
          <w:sz w:val="28"/>
          <w:szCs w:val="28"/>
        </w:rPr>
      </w:pPr>
      <w:r>
        <w:rPr>
          <w:rFonts w:hint="eastAsia" w:ascii="仿宋" w:hAnsi="仿宋" w:eastAsia="仿宋"/>
          <w:sz w:val="28"/>
          <w:szCs w:val="28"/>
        </w:rPr>
        <w:t>3）2020年公司财务报表及纳税证明；</w:t>
      </w:r>
    </w:p>
    <w:p>
      <w:pPr>
        <w:widowControl w:val="0"/>
        <w:tabs>
          <w:tab w:val="left" w:pos="839"/>
          <w:tab w:val="left" w:pos="1469"/>
        </w:tabs>
        <w:spacing w:after="0" w:line="500" w:lineRule="exact"/>
        <w:ind w:left="660" w:leftChars="300"/>
        <w:rPr>
          <w:rFonts w:ascii="仿宋" w:hAnsi="仿宋" w:eastAsia="仿宋"/>
          <w:sz w:val="28"/>
          <w:szCs w:val="28"/>
        </w:rPr>
      </w:pPr>
      <w:r>
        <w:rPr>
          <w:rFonts w:hint="eastAsia" w:ascii="仿宋" w:hAnsi="仿宋" w:eastAsia="仿宋"/>
          <w:sz w:val="28"/>
          <w:szCs w:val="28"/>
        </w:rPr>
        <w:t>4）社会保障资金的缴纳记录证明。</w:t>
      </w:r>
    </w:p>
    <w:p>
      <w:p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报价响应文件递交方式：</w:t>
      </w:r>
      <w:r>
        <w:rPr>
          <w:rFonts w:hint="eastAsia" w:ascii="仿宋" w:hAnsi="仿宋" w:eastAsia="仿宋"/>
          <w:b/>
          <w:bCs/>
          <w:sz w:val="28"/>
          <w:szCs w:val="28"/>
        </w:rPr>
        <w:t>密封报价并使用现场报送</w:t>
      </w:r>
      <w:r>
        <w:rPr>
          <w:rFonts w:hint="eastAsia" w:ascii="仿宋" w:hAnsi="仿宋" w:eastAsia="仿宋"/>
          <w:sz w:val="28"/>
          <w:szCs w:val="28"/>
        </w:rPr>
        <w:t>。</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报价响应文件递交截止时间</w:t>
      </w:r>
      <w:r>
        <w:rPr>
          <w:rFonts w:hint="eastAsia" w:ascii="仿宋" w:hAnsi="仿宋" w:eastAsia="仿宋"/>
          <w:color w:val="000000" w:themeColor="text1"/>
          <w:sz w:val="28"/>
          <w:szCs w:val="28"/>
          <w:shd w:val="clear" w:color="auto" w:fill="FFFFFF"/>
          <w14:textFill>
            <w14:solidFill>
              <w14:schemeClr w14:val="tx1"/>
            </w14:solidFill>
          </w14:textFill>
        </w:rPr>
        <w:t>：</w:t>
      </w:r>
      <w:r>
        <w:rPr>
          <w:rFonts w:hint="eastAsia" w:ascii="仿宋" w:hAnsi="仿宋" w:eastAsia="仿宋"/>
          <w:sz w:val="28"/>
          <w:szCs w:val="28"/>
          <w:shd w:val="clear" w:color="auto" w:fill="FFFFFF"/>
        </w:rPr>
        <w:t>2021年07</w:t>
      </w:r>
      <w:r>
        <w:rPr>
          <w:rFonts w:ascii="仿宋" w:hAnsi="仿宋" w:eastAsia="仿宋"/>
          <w:sz w:val="28"/>
          <w:szCs w:val="28"/>
          <w:shd w:val="clear" w:color="auto" w:fill="FFFFFF"/>
        </w:rPr>
        <w:t>月</w:t>
      </w:r>
      <w:r>
        <w:rPr>
          <w:rFonts w:hint="eastAsia" w:ascii="仿宋" w:hAnsi="仿宋" w:eastAsia="仿宋"/>
          <w:sz w:val="28"/>
          <w:szCs w:val="28"/>
          <w:shd w:val="clear" w:color="auto" w:fill="FFFFFF"/>
          <w:lang w:val="en-US" w:eastAsia="zh-CN"/>
        </w:rPr>
        <w:t>30</w:t>
      </w:r>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上午11：00前。</w:t>
      </w:r>
    </w:p>
    <w:p>
      <w:pPr>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7.</w:t>
      </w:r>
      <w:r>
        <w:rPr>
          <w:rFonts w:hint="eastAsia" w:ascii="仿宋" w:hAnsi="仿宋" w:eastAsia="仿宋"/>
          <w:color w:val="000000" w:themeColor="text1"/>
          <w:sz w:val="28"/>
          <w:szCs w:val="28"/>
          <w14:textFill>
            <w14:solidFill>
              <w14:schemeClr w14:val="tx1"/>
            </w14:solidFill>
          </w14:textFill>
        </w:rPr>
        <w:t>报价响应文件递交地点：</w:t>
      </w:r>
      <w:r>
        <w:rPr>
          <w:rFonts w:hint="eastAsia" w:ascii="仿宋" w:hAnsi="仿宋" w:eastAsia="仿宋"/>
          <w:sz w:val="28"/>
          <w:szCs w:val="28"/>
        </w:rPr>
        <w:t>渝北区回兴龙石路18号学院办公楼二楼</w:t>
      </w:r>
      <w:r>
        <w:rPr>
          <w:rFonts w:ascii="仿宋" w:hAnsi="仿宋" w:eastAsia="仿宋"/>
          <w:sz w:val="28"/>
          <w:szCs w:val="28"/>
        </w:rPr>
        <w:t>202</w:t>
      </w:r>
      <w:r>
        <w:rPr>
          <w:rFonts w:hint="eastAsia" w:ascii="仿宋" w:hAnsi="仿宋" w:eastAsia="仿宋"/>
          <w:sz w:val="28"/>
          <w:szCs w:val="28"/>
        </w:rPr>
        <w:t>室。</w:t>
      </w:r>
    </w:p>
    <w:p>
      <w:pPr>
        <w:spacing w:after="0" w:line="440" w:lineRule="exact"/>
        <w:ind w:left="839"/>
        <w:rPr>
          <w:rFonts w:ascii="仿宋" w:hAnsi="仿宋" w:eastAsia="仿宋"/>
          <w:b/>
          <w:bCs/>
          <w:sz w:val="28"/>
          <w:szCs w:val="28"/>
        </w:rPr>
      </w:pPr>
      <w:bookmarkStart w:id="7"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 xml:space="preserve">皮瑞  </w:t>
      </w:r>
      <w:r>
        <w:rPr>
          <w:rFonts w:ascii="仿宋" w:hAnsi="仿宋" w:eastAsia="仿宋"/>
          <w:b/>
          <w:bCs/>
          <w:sz w:val="28"/>
          <w:szCs w:val="28"/>
        </w:rPr>
        <w:t xml:space="preserve">    </w:t>
      </w:r>
      <w:r>
        <w:rPr>
          <w:rFonts w:hint="eastAsia" w:ascii="仿宋" w:hAnsi="仿宋" w:eastAsia="仿宋"/>
          <w:b/>
          <w:bCs/>
          <w:sz w:val="28"/>
          <w:szCs w:val="28"/>
        </w:rPr>
        <w:t>联系电话：18223273384</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注：响应文件按以上地址送达</w:t>
      </w:r>
    </w:p>
    <w:bookmarkEnd w:id="7"/>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二、参与人须知</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1.所有货物及施工改造服务等均以人民币报价；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2.报价响应文件2份，报价响应文件</w:t>
      </w:r>
      <w:r>
        <w:rPr>
          <w:rFonts w:ascii="仿宋" w:hAnsi="仿宋" w:eastAsia="仿宋"/>
          <w:color w:val="000000" w:themeColor="text1"/>
          <w:sz w:val="28"/>
          <w:szCs w:val="28"/>
          <w14:textFill>
            <w14:solidFill>
              <w14:schemeClr w14:val="tx1"/>
            </w14:solidFill>
          </w14:textFill>
        </w:rPr>
        <w:t>必须用A4幅面纸张打印</w:t>
      </w:r>
      <w:r>
        <w:rPr>
          <w:rFonts w:hint="eastAsia" w:ascii="仿宋" w:hAnsi="仿宋" w:eastAsia="仿宋"/>
          <w:color w:val="000000" w:themeColor="text1"/>
          <w:sz w:val="28"/>
          <w:szCs w:val="28"/>
          <w14:textFill>
            <w14:solidFill>
              <w14:schemeClr w14:val="tx1"/>
            </w14:solidFill>
          </w14:textFill>
        </w:rPr>
        <w:t>，须由参与人填写并加盖公章（正本1份副本1份）；</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3.报价响应文件用不退色墨水书写或打印，因字迹潦草或表达不清所引起的后果由参与人自负；</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b/>
          <w:bCs/>
          <w:color w:val="000000" w:themeColor="text1"/>
          <w:sz w:val="28"/>
          <w:szCs w:val="28"/>
          <w14:textFill>
            <w14:solidFill>
              <w14:schemeClr w14:val="tx1"/>
            </w14:solidFill>
          </w14:textFill>
        </w:rPr>
        <w:t>报价响应文件及所有相关资料需同时进行密封处理，并在密封处加盖公章，未做密封处理及未加盖公章的视为无效报价；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5.一个参与人只能提交一个报价响应文件。但如果参与人之间存在下列互为关联关系情形之一的，不得同时参加本项目报价：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法定代表人为同一人的两个及两个以上法人；</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 母公司、直接或间接持股50％及以上的被投资公司;</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 均为同一家母公司直接或间接持股50％及以上的被投资公司。</w:t>
      </w:r>
    </w:p>
    <w:p>
      <w:pPr>
        <w:spacing w:after="0" w:line="440" w:lineRule="exact"/>
        <w:jc w:val="left"/>
        <w:rPr>
          <w:rFonts w:ascii="仿宋" w:hAnsi="仿宋" w:eastAsia="仿宋"/>
          <w:sz w:val="28"/>
          <w:szCs w:val="28"/>
        </w:rPr>
      </w:pPr>
      <w:r>
        <w:rPr>
          <w:rFonts w:hint="eastAsia" w:ascii="仿宋" w:hAnsi="仿宋" w:eastAsia="仿宋"/>
          <w:sz w:val="28"/>
          <w:szCs w:val="28"/>
        </w:rPr>
        <w:t>三、质保和后期服务要求</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1.免费保修期，</w:t>
      </w:r>
      <w:r>
        <w:rPr>
          <w:rFonts w:hint="eastAsia" w:ascii="仿宋" w:hAnsi="仿宋" w:eastAsia="仿宋"/>
          <w:sz w:val="28"/>
          <w:szCs w:val="28"/>
          <w:lang w:val="en-US" w:eastAsia="zh-CN"/>
        </w:rPr>
        <w:t>壹</w:t>
      </w:r>
      <w:r>
        <w:rPr>
          <w:rFonts w:hint="eastAsia" w:ascii="仿宋" w:hAnsi="仿宋" w:eastAsia="仿宋"/>
          <w:sz w:val="28"/>
          <w:szCs w:val="28"/>
        </w:rPr>
        <w:t>年以上；</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2.应急保修时间安排，报修后2天内完成；</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3.请提供报修联系电话及联系人员；</w:t>
      </w:r>
    </w:p>
    <w:p>
      <w:pPr>
        <w:spacing w:after="0" w:line="440" w:lineRule="exact"/>
        <w:jc w:val="left"/>
        <w:rPr>
          <w:rFonts w:ascii="仿宋" w:hAnsi="仿宋" w:eastAsia="仿宋"/>
          <w:sz w:val="28"/>
          <w:szCs w:val="28"/>
        </w:rPr>
      </w:pPr>
      <w:r>
        <w:rPr>
          <w:rFonts w:hint="eastAsia" w:ascii="仿宋" w:hAnsi="仿宋" w:eastAsia="仿宋"/>
          <w:sz w:val="28"/>
          <w:szCs w:val="28"/>
        </w:rPr>
        <w:t>四、确定成交参与人标准及原则</w:t>
      </w:r>
    </w:p>
    <w:p>
      <w:pPr>
        <w:widowControl w:val="0"/>
        <w:spacing w:after="0" w:line="440" w:lineRule="exact"/>
        <w:ind w:firstLine="560" w:firstLineChars="200"/>
        <w:jc w:val="left"/>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spacing w:after="0" w:line="440" w:lineRule="exact"/>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spacing w:after="0" w:line="440" w:lineRule="exact"/>
        <w:rPr>
          <w:rFonts w:ascii="仿宋" w:hAnsi="仿宋" w:eastAsia="仿宋"/>
          <w:b/>
          <w:bCs/>
          <w:sz w:val="28"/>
          <w:szCs w:val="28"/>
        </w:rPr>
      </w:pPr>
      <w:r>
        <w:rPr>
          <w:rFonts w:hint="eastAsia" w:ascii="仿宋" w:hAnsi="仿宋" w:eastAsia="仿宋"/>
          <w:b/>
          <w:bCs/>
          <w:sz w:val="28"/>
          <w:szCs w:val="28"/>
        </w:rPr>
        <w:t>投诉邮箱：Neikongbu@educationgroup.cn</w:t>
      </w:r>
    </w:p>
    <w:p>
      <w:pPr>
        <w:spacing w:after="0" w:line="440" w:lineRule="exact"/>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p>
    <w:p>
      <w:pPr>
        <w:pStyle w:val="61"/>
        <w:spacing w:line="360" w:lineRule="auto"/>
        <w:jc w:val="center"/>
        <w:outlineLvl w:val="0"/>
        <w:rPr>
          <w:rFonts w:ascii="仿宋" w:hAnsi="仿宋" w:eastAsia="仿宋"/>
          <w:b/>
          <w:color w:val="000000" w:themeColor="text1"/>
          <w:sz w:val="44"/>
          <w:szCs w:val="44"/>
          <w14:textFill>
            <w14:solidFill>
              <w14:schemeClr w14:val="tx1"/>
            </w14:solidFill>
          </w14:textFill>
        </w:rPr>
      </w:pPr>
      <w:bookmarkStart w:id="8" w:name="_Hlk61444720"/>
      <w:r>
        <w:rPr>
          <w:rFonts w:hint="eastAsia" w:ascii="仿宋" w:hAnsi="仿宋" w:eastAsia="仿宋"/>
          <w:b/>
          <w:color w:val="000000" w:themeColor="text1"/>
          <w:sz w:val="44"/>
          <w:szCs w:val="44"/>
          <w14:textFill>
            <w14:solidFill>
              <w14:schemeClr w14:val="tx1"/>
            </w14:solidFill>
          </w14:textFill>
        </w:rPr>
        <w:t>二、公开询价</w:t>
      </w:r>
      <w:bookmarkEnd w:id="6"/>
      <w:r>
        <w:rPr>
          <w:rFonts w:hint="eastAsia" w:ascii="仿宋" w:hAnsi="仿宋" w:eastAsia="仿宋"/>
          <w:b/>
          <w:color w:val="000000" w:themeColor="text1"/>
          <w:sz w:val="44"/>
          <w:szCs w:val="44"/>
          <w14:textFill>
            <w14:solidFill>
              <w14:schemeClr w14:val="tx1"/>
            </w14:solidFill>
          </w14:textFill>
        </w:rPr>
        <w:t>项目介绍</w:t>
      </w:r>
    </w:p>
    <w:bookmarkEnd w:id="8"/>
    <w:p>
      <w:pPr>
        <w:spacing w:after="0" w:line="500" w:lineRule="exact"/>
        <w:ind w:left="1968" w:hanging="1968" w:hangingChars="700"/>
        <w:rPr>
          <w:rFonts w:hint="eastAsia" w:ascii="仿宋" w:hAnsi="仿宋" w:eastAsia="仿宋"/>
          <w:b/>
          <w:sz w:val="28"/>
          <w:szCs w:val="28"/>
          <w:lang w:eastAsia="zh-CN"/>
        </w:rPr>
      </w:pPr>
      <w:bookmarkStart w:id="9" w:name="_Hlk46845989"/>
      <w:r>
        <w:rPr>
          <w:rFonts w:hint="eastAsia" w:ascii="仿宋" w:hAnsi="仿宋" w:eastAsia="仿宋"/>
          <w:b/>
          <w:sz w:val="28"/>
          <w:szCs w:val="28"/>
        </w:rPr>
        <w:t>一、项目名称：</w:t>
      </w:r>
      <w:r>
        <w:rPr>
          <w:rFonts w:hint="eastAsia" w:ascii="仿宋" w:hAnsi="仿宋" w:eastAsia="仿宋"/>
          <w:bCs/>
          <w:sz w:val="28"/>
          <w:szCs w:val="28"/>
        </w:rPr>
        <w:t>2021年舞蹈实验室建设项目</w:t>
      </w:r>
      <w:r>
        <w:rPr>
          <w:rFonts w:hint="eastAsia" w:ascii="仿宋" w:hAnsi="仿宋" w:eastAsia="仿宋"/>
          <w:bCs/>
          <w:sz w:val="28"/>
          <w:szCs w:val="28"/>
          <w:lang w:eastAsia="zh-CN"/>
        </w:rPr>
        <w:t>（</w:t>
      </w:r>
      <w:r>
        <w:rPr>
          <w:rFonts w:hint="eastAsia" w:ascii="仿宋" w:hAnsi="仿宋" w:eastAsia="仿宋"/>
          <w:bCs/>
          <w:sz w:val="28"/>
          <w:szCs w:val="28"/>
          <w:lang w:val="en-US" w:eastAsia="zh-CN"/>
        </w:rPr>
        <w:t>二次</w:t>
      </w:r>
      <w:r>
        <w:rPr>
          <w:rFonts w:hint="eastAsia" w:ascii="仿宋" w:hAnsi="仿宋" w:eastAsia="仿宋"/>
          <w:bCs/>
          <w:sz w:val="28"/>
          <w:szCs w:val="28"/>
          <w:lang w:eastAsia="zh-CN"/>
        </w:rPr>
        <w:t>）</w:t>
      </w:r>
    </w:p>
    <w:p>
      <w:pPr>
        <w:spacing w:after="0" w:line="500" w:lineRule="exact"/>
        <w:ind w:left="1985" w:hanging="1985" w:hangingChars="706"/>
        <w:rPr>
          <w:rFonts w:ascii="仿宋" w:hAnsi="仿宋" w:eastAsia="仿宋"/>
          <w:color w:val="000000" w:themeColor="text1"/>
          <w:sz w:val="28"/>
          <w:szCs w:val="28"/>
          <w14:textFill>
            <w14:solidFill>
              <w14:schemeClr w14:val="tx1"/>
            </w14:solidFill>
          </w14:textFill>
        </w:rPr>
      </w:pPr>
      <w:r>
        <w:rPr>
          <w:rFonts w:hint="eastAsia" w:ascii="仿宋" w:hAnsi="仿宋" w:eastAsia="仿宋"/>
          <w:b/>
          <w:sz w:val="28"/>
          <w:szCs w:val="28"/>
        </w:rPr>
        <w:t>二、项目地点：</w:t>
      </w:r>
      <w:r>
        <w:rPr>
          <w:rFonts w:hint="eastAsia" w:ascii="仿宋" w:hAnsi="仿宋" w:eastAsia="仿宋"/>
          <w:color w:val="000000" w:themeColor="text1"/>
          <w:sz w:val="28"/>
          <w:szCs w:val="28"/>
          <w14:textFill>
            <w14:solidFill>
              <w14:schemeClr w14:val="tx1"/>
            </w14:solidFill>
          </w14:textFill>
        </w:rPr>
        <w:t>重庆市渝北区龙石路1</w:t>
      </w:r>
      <w:r>
        <w:rPr>
          <w:rFonts w:ascii="仿宋" w:hAnsi="仿宋" w:eastAsia="仿宋"/>
          <w:color w:val="000000" w:themeColor="text1"/>
          <w:sz w:val="28"/>
          <w:szCs w:val="28"/>
          <w14:textFill>
            <w14:solidFill>
              <w14:schemeClr w14:val="tx1"/>
            </w14:solidFill>
          </w14:textFill>
        </w:rPr>
        <w:t>8</w:t>
      </w:r>
      <w:r>
        <w:rPr>
          <w:rFonts w:hint="eastAsia" w:ascii="仿宋" w:hAnsi="仿宋" w:eastAsia="仿宋"/>
          <w:color w:val="000000" w:themeColor="text1"/>
          <w:sz w:val="28"/>
          <w:szCs w:val="28"/>
          <w14:textFill>
            <w14:solidFill>
              <w14:schemeClr w14:val="tx1"/>
            </w14:solidFill>
          </w14:textFill>
        </w:rPr>
        <w:t>号重庆外语外事学院艺术楼</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sz w:val="28"/>
          <w:szCs w:val="28"/>
        </w:rPr>
        <w:t>重庆外语外事学院对</w:t>
      </w:r>
      <w:r>
        <w:rPr>
          <w:rFonts w:hint="eastAsia" w:ascii="仿宋" w:hAnsi="仿宋" w:eastAsia="仿宋"/>
          <w:color w:val="000000" w:themeColor="text1"/>
          <w:sz w:val="28"/>
          <w:szCs w:val="28"/>
          <w14:textFill>
            <w14:solidFill>
              <w14:schemeClr w14:val="tx1"/>
            </w14:solidFill>
          </w14:textFill>
        </w:rPr>
        <w:t>舞蹈实验室建设项目</w:t>
      </w:r>
      <w:r>
        <w:rPr>
          <w:rFonts w:hint="eastAsia" w:ascii="仿宋" w:hAnsi="仿宋" w:eastAsia="仿宋"/>
          <w:sz w:val="28"/>
          <w:szCs w:val="28"/>
        </w:rPr>
        <w:t>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（一）资格性审查：按参与人资格标准的各项要求逐项审查。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注：资格性审查有其中一项不符合者不进入下一程序。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（二）符合性审查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2、服务要求：参与人必须逐项承诺</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（1）交货时间：2021年08月20日前。</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（2）交货地点：重庆市渝北区龙石路1</w:t>
      </w:r>
      <w:r>
        <w:rPr>
          <w:rFonts w:ascii="仿宋" w:hAnsi="仿宋" w:eastAsia="仿宋"/>
          <w:bCs/>
          <w:color w:val="000000" w:themeColor="text1"/>
          <w:sz w:val="28"/>
          <w:szCs w:val="28"/>
          <w14:textFill>
            <w14:solidFill>
              <w14:schemeClr w14:val="tx1"/>
            </w14:solidFill>
          </w14:textFill>
        </w:rPr>
        <w:t>8</w:t>
      </w:r>
      <w:r>
        <w:rPr>
          <w:rFonts w:hint="eastAsia" w:ascii="仿宋" w:hAnsi="仿宋" w:eastAsia="仿宋"/>
          <w:bCs/>
          <w:color w:val="000000" w:themeColor="text1"/>
          <w:sz w:val="28"/>
          <w:szCs w:val="28"/>
          <w14:textFill>
            <w14:solidFill>
              <w14:schemeClr w14:val="tx1"/>
            </w14:solidFill>
          </w14:textFill>
        </w:rPr>
        <w:t>号。</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（3）到货率：根据交货时间到货率达到100%。</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（4）付款方式：安装完成验收合格付95%，</w:t>
      </w:r>
      <w:r>
        <w:rPr>
          <w:rFonts w:hint="eastAsia" w:ascii="仿宋" w:hAnsi="仿宋" w:eastAsia="仿宋"/>
          <w:bCs/>
          <w:color w:val="000000" w:themeColor="text1"/>
          <w:sz w:val="28"/>
          <w:szCs w:val="28"/>
          <w:lang w:val="en-US" w:eastAsia="zh-CN"/>
          <w14:textFill>
            <w14:solidFill>
              <w14:schemeClr w14:val="tx1"/>
            </w14:solidFill>
          </w14:textFill>
        </w:rPr>
        <w:t>验收合格之日起，满</w:t>
      </w:r>
      <w:r>
        <w:rPr>
          <w:rFonts w:hint="eastAsia" w:ascii="仿宋" w:hAnsi="仿宋" w:eastAsia="仿宋"/>
          <w:bCs/>
          <w:color w:val="000000" w:themeColor="text1"/>
          <w:sz w:val="28"/>
          <w:szCs w:val="28"/>
          <w14:textFill>
            <w14:solidFill>
              <w14:schemeClr w14:val="tx1"/>
            </w14:solidFill>
          </w14:textFill>
        </w:rPr>
        <w:t>一年</w:t>
      </w:r>
      <w:r>
        <w:rPr>
          <w:rFonts w:hint="eastAsia" w:ascii="仿宋" w:hAnsi="仿宋" w:eastAsia="仿宋"/>
          <w:bCs/>
          <w:color w:val="000000" w:themeColor="text1"/>
          <w:sz w:val="28"/>
          <w:szCs w:val="28"/>
          <w:lang w:val="en-US" w:eastAsia="zh-CN"/>
          <w14:textFill>
            <w14:solidFill>
              <w14:schemeClr w14:val="tx1"/>
            </w14:solidFill>
          </w14:textFill>
        </w:rPr>
        <w:t>且</w:t>
      </w:r>
      <w:r>
        <w:rPr>
          <w:rFonts w:hint="eastAsia" w:ascii="仿宋" w:hAnsi="仿宋" w:eastAsia="仿宋"/>
          <w:bCs/>
          <w:color w:val="000000" w:themeColor="text1"/>
          <w:sz w:val="28"/>
          <w:szCs w:val="28"/>
          <w14:textFill>
            <w14:solidFill>
              <w14:schemeClr w14:val="tx1"/>
            </w14:solidFill>
          </w14:textFill>
        </w:rPr>
        <w:t>无重大质量问题付5%。</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（5）验收承诺：详见第四条技术服务要求。</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（6）售后服务承诺：详见第六条售后服务要求。</w:t>
      </w:r>
    </w:p>
    <w:p>
      <w:pPr>
        <w:spacing w:after="0" w:line="5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项目整体质保期壹年，从验收合格之日起算。在保质期内，乙方应对非人为因素损坏的物品负责包换。</w:t>
      </w:r>
    </w:p>
    <w:p>
      <w:pPr>
        <w:spacing w:after="0" w:line="440" w:lineRule="exact"/>
        <w:rPr>
          <w:rFonts w:ascii="仿宋" w:hAnsi="仿宋" w:eastAsia="仿宋"/>
          <w:b/>
          <w:sz w:val="28"/>
          <w:szCs w:val="28"/>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p>
      <w:pPr>
        <w:spacing w:after="0" w:line="400" w:lineRule="exact"/>
        <w:ind w:firstLine="560" w:firstLineChars="200"/>
        <w:rPr>
          <w:rFonts w:ascii="仿宋" w:hAnsi="仿宋" w:eastAsia="仿宋"/>
          <w:sz w:val="28"/>
          <w:szCs w:val="28"/>
        </w:rPr>
      </w:pP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p>
    <w:bookmarkEnd w:id="9"/>
    <w:p>
      <w:pPr>
        <w:rPr>
          <w:rFonts w:ascii="仿宋" w:hAnsi="仿宋" w:eastAsia="仿宋"/>
          <w:b/>
          <w:color w:val="000000" w:themeColor="text1"/>
          <w:sz w:val="36"/>
          <w:szCs w:val="36"/>
          <w14:textFill>
            <w14:solidFill>
              <w14:schemeClr w14:val="tx1"/>
            </w14:solidFill>
          </w14:textFill>
        </w:rPr>
        <w:sectPr>
          <w:pgSz w:w="11906" w:h="16838"/>
          <w:pgMar w:top="1440" w:right="1274" w:bottom="1440" w:left="1134" w:header="567" w:footer="227" w:gutter="0"/>
          <w:cols w:space="425" w:num="1"/>
          <w:titlePg/>
          <w:docGrid w:type="lines" w:linePitch="312" w:charSpace="0"/>
        </w:sectPr>
      </w:pPr>
    </w:p>
    <w:p>
      <w:pPr>
        <w:pStyle w:val="61"/>
        <w:numPr>
          <w:ilvl w:val="0"/>
          <w:numId w:val="1"/>
        </w:numPr>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公开询价货物一览表</w:t>
      </w:r>
    </w:p>
    <w:tbl>
      <w:tblPr>
        <w:tblStyle w:val="27"/>
        <w:tblW w:w="13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805"/>
        <w:gridCol w:w="3438"/>
        <w:gridCol w:w="1186"/>
        <w:gridCol w:w="1279"/>
        <w:gridCol w:w="1514"/>
        <w:gridCol w:w="1125"/>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80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技术指标</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单位</w:t>
            </w:r>
          </w:p>
        </w:tc>
        <w:tc>
          <w:tcPr>
            <w:tcW w:w="127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工程量</w:t>
            </w:r>
          </w:p>
        </w:tc>
        <w:tc>
          <w:tcPr>
            <w:tcW w:w="1514"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综合</w:t>
            </w:r>
            <w:r>
              <w:rPr>
                <w:rFonts w:hint="eastAsia" w:asciiTheme="minorEastAsia" w:hAnsiTheme="minorEastAsia" w:eastAsiaTheme="minorEastAsia" w:cstheme="minorEastAsia"/>
                <w:b/>
                <w:bCs/>
                <w:sz w:val="21"/>
                <w:szCs w:val="21"/>
              </w:rPr>
              <w:t>单价（元）</w:t>
            </w: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合价</w:t>
            </w:r>
            <w:r>
              <w:rPr>
                <w:rFonts w:hint="eastAsia" w:asciiTheme="minorEastAsia" w:hAnsiTheme="minorEastAsia" w:eastAsiaTheme="minorEastAsia" w:cstheme="minorEastAsia"/>
                <w:b/>
                <w:bCs/>
                <w:sz w:val="21"/>
                <w:szCs w:val="21"/>
              </w:rPr>
              <w:t>（元）</w:t>
            </w: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拆除瓷砖踢脚线</w:t>
            </w:r>
          </w:p>
        </w:tc>
        <w:tc>
          <w:tcPr>
            <w:tcW w:w="3438" w:type="dxa"/>
            <w:vAlign w:val="center"/>
          </w:tcPr>
          <w:p>
            <w:pPr>
              <w:keepNext w:val="0"/>
              <w:keepLines w:val="0"/>
              <w:pageBreakBefore w:val="0"/>
              <w:widowControl/>
              <w:numPr>
                <w:ilvl w:val="255"/>
                <w:numId w:val="0"/>
              </w:numPr>
              <w:tabs>
                <w:tab w:val="left" w:pos="220"/>
                <w:tab w:val="left" w:pos="720"/>
              </w:tabs>
              <w:kinsoku/>
              <w:wordWrap/>
              <w:overflowPunct/>
              <w:topLinePunct w:val="0"/>
              <w:autoSpaceDE w:val="0"/>
              <w:autoSpaceDN w:val="0"/>
              <w:bidi w:val="0"/>
              <w:adjustRightInd w:val="0"/>
              <w:snapToGrid w:val="0"/>
              <w:spacing w:after="0" w:line="240" w:lineRule="exact"/>
              <w:jc w:val="center"/>
              <w:textAlignment w:val="auto"/>
              <w:rPr>
                <w:rFonts w:hint="eastAsia" w:asciiTheme="minorEastAsia" w:hAnsiTheme="minorEastAsia" w:eastAsiaTheme="minorEastAsia" w:cstheme="minorEastAsia"/>
                <w:color w:val="535353"/>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65</w:t>
            </w:r>
          </w:p>
        </w:tc>
        <w:tc>
          <w:tcPr>
            <w:tcW w:w="1514"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拆除灰镜</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7.39</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拆除舞台</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项</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墙面原有腻子及乳胶漆铲除</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165.8</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墙面原有腻子及乳胶漆修补</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165.8</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自流平找平</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两遍腻子及乳胶漆</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210</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PVC</w:t>
            </w:r>
            <w:r>
              <w:rPr>
                <w:rFonts w:hint="eastAsia" w:asciiTheme="minorEastAsia" w:hAnsiTheme="minorEastAsia" w:eastAsiaTheme="minorEastAsia" w:cstheme="minorEastAsia"/>
                <w:color w:val="000000"/>
                <w:sz w:val="21"/>
                <w:szCs w:val="21"/>
              </w:rPr>
              <w:t>地板胶铺贴</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地板胶5mm厚</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210</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提供品牌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不锈钢踢脚线安装</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木基层，不锈钢制作安装</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62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银镜安装</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墙面银镜制作安装，安装高度2.4m</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27.67</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银镜周边不锈钢包边</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栏杆安装</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36.12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鞋柜</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18mm生态板现场制作</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个</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其他</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rPr>
              <w:t>材料</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建渣</w:t>
            </w:r>
            <w:r>
              <w:rPr>
                <w:rFonts w:hint="eastAsia" w:asciiTheme="minorEastAsia" w:hAnsiTheme="minorEastAsia" w:eastAsiaTheme="minorEastAsia" w:cstheme="minorEastAsia"/>
                <w:color w:val="000000"/>
                <w:sz w:val="21"/>
                <w:szCs w:val="21"/>
              </w:rPr>
              <w:t>转运</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卫生保洁</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13" w:type="dxa"/>
            <w:gridSpan w:val="8"/>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ascii="仿宋_GB2312" w:hAnsi="仿宋_GB2312" w:eastAsia="仿宋_GB2312" w:cs="仿宋_GB2312"/>
                <w:sz w:val="21"/>
                <w:szCs w:val="21"/>
              </w:rPr>
            </w:pPr>
            <w:r>
              <w:rPr>
                <w:rFonts w:hint="eastAsia" w:cs="仿宋_GB2312" w:asciiTheme="minorEastAsia" w:hAnsiTheme="minorEastAsia"/>
                <w:sz w:val="21"/>
                <w:szCs w:val="21"/>
              </w:rPr>
              <w:t xml:space="preserve">合计（含税）：大写人民币 </w:t>
            </w:r>
            <w:r>
              <w:rPr>
                <w:rFonts w:cs="仿宋_GB2312" w:asciiTheme="minorEastAsia" w:hAnsiTheme="minorEastAsia"/>
                <w:sz w:val="21"/>
                <w:szCs w:val="21"/>
              </w:rPr>
              <w:t xml:space="preserve">             </w:t>
            </w:r>
            <w:r>
              <w:rPr>
                <w:rFonts w:hint="eastAsia" w:cs="仿宋_GB2312" w:asciiTheme="minorEastAsia" w:hAnsiTheme="minorEastAsia"/>
                <w:sz w:val="21"/>
                <w:szCs w:val="21"/>
              </w:rPr>
              <w:t>小写￥</w:t>
            </w:r>
          </w:p>
        </w:tc>
      </w:tr>
    </w:tbl>
    <w:p>
      <w:pPr>
        <w:spacing w:after="0" w:line="240" w:lineRule="auto"/>
        <w:rPr>
          <w:rFonts w:ascii="仿宋" w:hAnsi="仿宋" w:eastAsia="仿宋" w:cs="宋体"/>
          <w:color w:val="000000"/>
          <w:sz w:val="24"/>
          <w:szCs w:val="24"/>
        </w:rPr>
      </w:pPr>
      <w:r>
        <w:rPr>
          <w:rFonts w:hint="eastAsia" w:ascii="仿宋" w:hAnsi="仿宋" w:eastAsia="仿宋" w:cs="宋体"/>
          <w:color w:val="000000"/>
          <w:sz w:val="24"/>
          <w:szCs w:val="24"/>
        </w:rPr>
        <w:t>说明：1、此报价表采用</w:t>
      </w:r>
      <w:bookmarkStart w:id="10" w:name="_Hlk44416240"/>
      <w:r>
        <w:rPr>
          <w:rFonts w:hint="eastAsia" w:ascii="仿宋" w:hAnsi="仿宋" w:eastAsia="仿宋" w:cs="宋体"/>
          <w:color w:val="000000"/>
          <w:sz w:val="24"/>
          <w:szCs w:val="24"/>
        </w:rPr>
        <w:t>全费用包干总价</w:t>
      </w:r>
      <w:bookmarkEnd w:id="10"/>
      <w:r>
        <w:rPr>
          <w:rFonts w:hint="eastAsia" w:ascii="仿宋" w:hAnsi="仿宋" w:eastAsia="仿宋" w:cs="宋体"/>
          <w:color w:val="000000"/>
          <w:sz w:val="24"/>
          <w:szCs w:val="24"/>
        </w:rPr>
        <w:t>进行结算。</w:t>
      </w:r>
    </w:p>
    <w:p>
      <w:pPr>
        <w:spacing w:after="0" w:line="240" w:lineRule="auto"/>
        <w:ind w:left="708" w:leftChars="322"/>
        <w:rPr>
          <w:rFonts w:ascii="仿宋" w:hAnsi="仿宋" w:eastAsia="仿宋" w:cs="宋体"/>
          <w:color w:val="000000"/>
          <w:sz w:val="24"/>
          <w:szCs w:val="24"/>
        </w:rPr>
      </w:pPr>
      <w:r>
        <w:rPr>
          <w:rFonts w:hint="eastAsia" w:ascii="仿宋" w:hAnsi="仿宋" w:eastAsia="仿宋" w:cs="宋体"/>
          <w:color w:val="000000"/>
          <w:sz w:val="24"/>
          <w:szCs w:val="24"/>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pStyle w:val="17"/>
        <w:spacing w:line="500" w:lineRule="exact"/>
        <w:ind w:firstLine="560" w:firstLineChars="200"/>
        <w:rPr>
          <w:rFonts w:ascii="仿宋" w:hAnsi="仿宋" w:eastAsia="仿宋"/>
          <w:color w:val="000000"/>
          <w:sz w:val="28"/>
        </w:rPr>
      </w:pPr>
    </w:p>
    <w:p>
      <w:pPr>
        <w:snapToGrid w:val="0"/>
        <w:spacing w:after="0" w:line="360" w:lineRule="auto"/>
        <w:rPr>
          <w:rFonts w:ascii="仿宋" w:hAnsi="仿宋" w:eastAsia="仿宋" w:cs="仿宋"/>
          <w:color w:val="000000" w:themeColor="text1"/>
          <w:sz w:val="28"/>
          <w:szCs w:val="28"/>
          <w14:textFill>
            <w14:solidFill>
              <w14:schemeClr w14:val="tx1"/>
            </w14:solidFill>
          </w14:textFill>
        </w:rPr>
        <w:sectPr>
          <w:headerReference r:id="rId8" w:type="first"/>
          <w:headerReference r:id="rId7" w:type="default"/>
          <w:pgSz w:w="16840" w:h="11907" w:orient="landscape"/>
          <w:pgMar w:top="1134" w:right="2286" w:bottom="1418" w:left="1134" w:header="567" w:footer="284" w:gutter="0"/>
          <w:cols w:space="425" w:num="1"/>
          <w:titlePg/>
          <w:docGrid w:type="lines" w:linePitch="312" w:charSpace="0"/>
        </w:sectPr>
      </w:pPr>
    </w:p>
    <w:p>
      <w:r>
        <w:drawing>
          <wp:inline distT="0" distB="0" distL="0" distR="0">
            <wp:extent cx="5941060" cy="1324610"/>
            <wp:effectExtent l="0" t="0" r="254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720" w:lineRule="auto"/>
        <w:jc w:val="center"/>
        <w:rPr>
          <w:rFonts w:ascii="仿宋" w:hAnsi="仿宋" w:eastAsia="仿宋"/>
          <w:b/>
          <w:color w:val="000000" w:themeColor="text1"/>
          <w:sz w:val="52"/>
          <w:szCs w:val="52"/>
          <w14:textFill>
            <w14:solidFill>
              <w14:schemeClr w14:val="tx1"/>
            </w14:solidFill>
          </w14:textFill>
        </w:rPr>
      </w:pPr>
    </w:p>
    <w:p>
      <w:pPr>
        <w:spacing w:line="1000" w:lineRule="exact"/>
        <w:jc w:val="center"/>
        <w:rPr>
          <w:rFonts w:ascii="仿宋" w:hAnsi="仿宋" w:eastAsia="仿宋"/>
          <w:b/>
          <w:color w:val="000000" w:themeColor="text1"/>
          <w:sz w:val="44"/>
          <w:szCs w:val="44"/>
          <w14:textFill>
            <w14:solidFill>
              <w14:schemeClr w14:val="tx1"/>
            </w14:solidFill>
          </w14:textFill>
        </w:rPr>
      </w:pPr>
    </w:p>
    <w:p>
      <w:pPr>
        <w:spacing w:line="1000" w:lineRule="exact"/>
        <w:jc w:val="center"/>
        <w:rPr>
          <w:rFonts w:hint="eastAsia" w:ascii="仿宋" w:hAnsi="仿宋" w:eastAsia="仿宋"/>
          <w:b/>
          <w:color w:val="000000" w:themeColor="text1"/>
          <w:sz w:val="52"/>
          <w:szCs w:val="52"/>
          <w:lang w:eastAsia="zh-CN"/>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关于舞蹈实验室建设项目</w:t>
      </w:r>
      <w:r>
        <w:rPr>
          <w:rFonts w:hint="eastAsia" w:ascii="仿宋" w:hAnsi="仿宋" w:eastAsia="仿宋"/>
          <w:b/>
          <w:color w:val="000000" w:themeColor="text1"/>
          <w:sz w:val="52"/>
          <w:szCs w:val="52"/>
          <w:lang w:eastAsia="zh-CN"/>
          <w14:textFill>
            <w14:solidFill>
              <w14:schemeClr w14:val="tx1"/>
            </w14:solidFill>
          </w14:textFill>
        </w:rPr>
        <w:t>（</w:t>
      </w:r>
      <w:r>
        <w:rPr>
          <w:rFonts w:hint="eastAsia" w:ascii="仿宋" w:hAnsi="仿宋" w:eastAsia="仿宋"/>
          <w:b/>
          <w:color w:val="000000" w:themeColor="text1"/>
          <w:sz w:val="52"/>
          <w:szCs w:val="52"/>
          <w:lang w:val="en-US" w:eastAsia="zh-CN"/>
          <w14:textFill>
            <w14:solidFill>
              <w14:schemeClr w14:val="tx1"/>
            </w14:solidFill>
          </w14:textFill>
        </w:rPr>
        <w:t>二次</w:t>
      </w:r>
      <w:bookmarkStart w:id="286" w:name="_GoBack"/>
      <w:bookmarkEnd w:id="286"/>
      <w:r>
        <w:rPr>
          <w:rFonts w:hint="eastAsia" w:ascii="仿宋" w:hAnsi="仿宋" w:eastAsia="仿宋"/>
          <w:b/>
          <w:color w:val="000000" w:themeColor="text1"/>
          <w:sz w:val="52"/>
          <w:szCs w:val="52"/>
          <w:lang w:eastAsia="zh-CN"/>
          <w14:textFill>
            <w14:solidFill>
              <w14:schemeClr w14:val="tx1"/>
            </w14:solidFill>
          </w14:textFill>
        </w:rPr>
        <w:t>）</w:t>
      </w:r>
    </w:p>
    <w:p>
      <w:pPr>
        <w:spacing w:line="580" w:lineRule="exact"/>
        <w:jc w:val="center"/>
        <w:rPr>
          <w:rFonts w:ascii="仿宋" w:hAnsi="仿宋" w:eastAsia="仿宋"/>
          <w:b/>
          <w:color w:val="000000" w:themeColor="text1"/>
          <w:sz w:val="52"/>
          <w:szCs w:val="52"/>
          <w14:textFill>
            <w14:solidFill>
              <w14:schemeClr w14:val="tx1"/>
            </w14:solidFill>
          </w14:textFill>
        </w:rPr>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rPr>
          <w:rFonts w:ascii="仿宋" w:hAnsi="仿宋" w:eastAsia="仿宋"/>
          <w:b/>
          <w:bCs/>
          <w:color w:val="000000" w:themeColor="text1"/>
          <w:sz w:val="30"/>
          <w:szCs w:val="30"/>
          <w14:textFill>
            <w14:solidFill>
              <w14:schemeClr w14:val="tx1"/>
            </w14:solidFill>
          </w14:textFill>
        </w:rPr>
        <w:sectPr>
          <w:headerReference r:id="rId9"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8"/>
          <w:szCs w:val="28"/>
          <w14:textFill>
            <w14:solidFill>
              <w14:schemeClr w14:val="tx1"/>
            </w14:solidFill>
          </w14:textFill>
        </w:rPr>
      </w:pPr>
      <w:bookmarkStart w:id="11" w:name="_Toc217891402"/>
      <w:bookmarkStart w:id="12" w:name="_Toc213755939"/>
      <w:bookmarkStart w:id="13" w:name="_Toc160880160"/>
      <w:bookmarkStart w:id="14" w:name="_Toc192996446"/>
      <w:bookmarkStart w:id="15" w:name="_Toc182805217"/>
      <w:bookmarkStart w:id="16" w:name="_Toc213208766"/>
      <w:bookmarkStart w:id="17" w:name="_Toc255975007"/>
      <w:bookmarkStart w:id="18" w:name="_Toc266870432"/>
      <w:bookmarkStart w:id="19" w:name="_Toc230071147"/>
      <w:bookmarkStart w:id="20" w:name="_Toc259692647"/>
      <w:bookmarkStart w:id="21" w:name="_Toc267060068"/>
      <w:bookmarkStart w:id="22" w:name="_Toc236021449"/>
      <w:bookmarkStart w:id="23" w:name="_Toc259520865"/>
      <w:bookmarkStart w:id="24" w:name="_Toc249325711"/>
      <w:bookmarkStart w:id="25" w:name="_Toc191783222"/>
      <w:bookmarkStart w:id="26" w:name="_Toc192664153"/>
      <w:bookmarkStart w:id="27" w:name="_Toc193160448"/>
      <w:bookmarkStart w:id="28" w:name="_Toc267059030"/>
      <w:bookmarkStart w:id="29" w:name="_Toc181436461"/>
      <w:bookmarkStart w:id="30" w:name="_Toc180302913"/>
      <w:bookmarkStart w:id="31" w:name="_Toc266868670"/>
      <w:bookmarkStart w:id="32" w:name="_Toc235437991"/>
      <w:bookmarkStart w:id="33" w:name="_Toc266870907"/>
      <w:bookmarkStart w:id="34" w:name="_Toc253066614"/>
      <w:bookmarkStart w:id="35" w:name="_Toc251586231"/>
      <w:bookmarkStart w:id="36" w:name="_Toc232302115"/>
      <w:bookmarkStart w:id="37" w:name="_Toc213755858"/>
      <w:bookmarkStart w:id="38" w:name="_Toc213756051"/>
      <w:bookmarkStart w:id="39" w:name="_Toc251613829"/>
      <w:bookmarkStart w:id="40" w:name="_Toc225669322"/>
      <w:bookmarkStart w:id="41" w:name="_Toc177985469"/>
      <w:bookmarkStart w:id="42" w:name="_Toc267059806"/>
      <w:bookmarkStart w:id="43" w:name="_Toc203355733"/>
      <w:bookmarkStart w:id="44" w:name="_Toc192996338"/>
      <w:bookmarkStart w:id="45" w:name="_Toc267059919"/>
      <w:bookmarkStart w:id="46" w:name="_Toc169332949"/>
      <w:bookmarkStart w:id="47" w:name="_Toc181436565"/>
      <w:bookmarkStart w:id="48" w:name="_Toc267059653"/>
      <w:bookmarkStart w:id="49" w:name="_Toc273178698"/>
      <w:bookmarkStart w:id="50" w:name="_Toc254790899"/>
      <w:bookmarkStart w:id="51" w:name="_Toc170798793"/>
      <w:bookmarkStart w:id="52" w:name="_Toc235438274"/>
      <w:bookmarkStart w:id="53" w:name="_Toc192663835"/>
      <w:bookmarkStart w:id="54" w:name="_Toc191802690"/>
      <w:bookmarkStart w:id="55" w:name="_Toc213755995"/>
      <w:bookmarkStart w:id="56" w:name="_Toc227058530"/>
      <w:bookmarkStart w:id="57" w:name="_Toc266868937"/>
      <w:bookmarkStart w:id="58" w:name="_Toc191803626"/>
      <w:bookmarkStart w:id="59" w:name="_Toc267059181"/>
      <w:bookmarkStart w:id="60" w:name="_Toc267059539"/>
      <w:bookmarkStart w:id="61" w:name="_Toc267060321"/>
      <w:bookmarkStart w:id="62" w:name="_Toc267060208"/>
      <w:bookmarkStart w:id="63" w:name="_Toc235438344"/>
      <w:bookmarkStart w:id="64" w:name="_Toc182372782"/>
      <w:bookmarkStart w:id="65" w:name="_Toc266870833"/>
      <w:bookmarkStart w:id="66" w:name="_Toc219800243"/>
      <w:bookmarkStart w:id="67" w:name="_Toc259692740"/>
      <w:bookmarkStart w:id="68" w:name="_Toc191789329"/>
      <w:bookmarkStart w:id="69" w:name="_Toc160880529"/>
      <w:bookmarkStart w:id="70" w:name="_Toc169332838"/>
      <w:bookmarkStart w:id="71" w:name="_Toc258401256"/>
      <w:bookmarkStart w:id="72" w:name="_Toc223146608"/>
      <w:bookmarkStart w:id="73" w:name="_Toc267060453"/>
      <w:bookmarkStart w:id="74" w:name="_Toc193165734"/>
      <w:bookmarkStart w:id="75" w:name="_Toc211917116"/>
      <w:bookmarkStart w:id="76" w:name="_Toc192663686"/>
      <w:r>
        <w:rPr>
          <w:rFonts w:hint="eastAsia" w:ascii="仿宋" w:hAnsi="仿宋" w:eastAsia="仿宋"/>
          <w:b/>
          <w:bCs/>
          <w:color w:val="000000" w:themeColor="text1"/>
          <w:sz w:val="28"/>
          <w:szCs w:val="28"/>
          <w14:textFill>
            <w14:solidFill>
              <w14:schemeClr w14:val="tx1"/>
            </w14:solidFill>
          </w14:textFill>
        </w:rPr>
        <w:t>1、</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Start w:id="77" w:name="_Hlk47536799"/>
      <w:r>
        <w:rPr>
          <w:rFonts w:hint="eastAsia" w:ascii="仿宋" w:hAnsi="仿宋" w:eastAsia="仿宋"/>
          <w:b/>
          <w:bCs/>
          <w:color w:val="000000" w:themeColor="text1"/>
          <w:sz w:val="28"/>
          <w:szCs w:val="28"/>
          <w14:textFill>
            <w14:solidFill>
              <w14:schemeClr w14:val="tx1"/>
            </w14:solidFill>
          </w14:textFill>
        </w:rPr>
        <w:t>询价响应函</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致：重庆外语外事学院</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根据贵方渝北校区关于多媒体教室设备升级改造项目的公开询价邀请（编号）:</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本签字代表</w:t>
      </w:r>
      <w:r>
        <w:rPr>
          <w:rFonts w:hint="eastAsia" w:ascii="仿宋" w:hAnsi="仿宋" w:eastAsia="仿宋"/>
          <w:color w:val="000000" w:themeColor="text1"/>
          <w:sz w:val="28"/>
          <w:szCs w:val="28"/>
          <w:u w:val="single"/>
          <w14:textFill>
            <w14:solidFill>
              <w14:schemeClr w14:val="tx1"/>
            </w14:solidFill>
          </w14:textFill>
        </w:rPr>
        <w:t>（全名、职务）</w:t>
      </w:r>
      <w:r>
        <w:rPr>
          <w:rFonts w:hint="eastAsia" w:ascii="仿宋" w:hAnsi="仿宋" w:eastAsia="仿宋"/>
          <w:color w:val="000000" w:themeColor="text1"/>
          <w:sz w:val="28"/>
          <w:szCs w:val="28"/>
          <w14:textFill>
            <w14:solidFill>
              <w14:schemeClr w14:val="tx1"/>
            </w14:solidFill>
          </w14:textFill>
        </w:rPr>
        <w:t>正式授权并代表我方</w:t>
      </w:r>
      <w:r>
        <w:rPr>
          <w:rFonts w:hint="eastAsia" w:ascii="仿宋" w:hAnsi="仿宋" w:eastAsia="仿宋"/>
          <w:color w:val="000000" w:themeColor="text1"/>
          <w:sz w:val="28"/>
          <w:szCs w:val="28"/>
          <w:u w:val="single"/>
          <w14:textFill>
            <w14:solidFill>
              <w14:schemeClr w14:val="tx1"/>
            </w14:solidFill>
          </w14:textFill>
        </w:rPr>
        <w:t>（参与人公司名称、地址）</w:t>
      </w:r>
      <w:r>
        <w:rPr>
          <w:rFonts w:hint="eastAsia" w:ascii="仿宋" w:hAnsi="仿宋" w:eastAsia="仿宋"/>
          <w:color w:val="000000" w:themeColor="text1"/>
          <w:sz w:val="28"/>
          <w:szCs w:val="28"/>
          <w14:textFill>
            <w14:solidFill>
              <w14:schemeClr w14:val="tx1"/>
            </w14:solidFill>
          </w14:textFill>
        </w:rPr>
        <w:t>提交下述文件正本1份和副本1份。</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 分项报价表</w:t>
      </w:r>
    </w:p>
    <w:p>
      <w:pPr>
        <w:spacing w:after="0" w:line="480" w:lineRule="exact"/>
        <w:ind w:firstLine="565" w:firstLineChars="202"/>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 参与人资格证明文件</w:t>
      </w:r>
    </w:p>
    <w:p>
      <w:pPr>
        <w:spacing w:after="0" w:line="480" w:lineRule="exact"/>
        <w:ind w:firstLine="57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 质保和后期服务承诺书</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据此函，签字代表宣布同意如下：</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1.所附详细报价表中规定的应提供和交付的货物及服务报价总价（国内现场交货价）为人民币</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（中文表述）</w:t>
      </w:r>
      <w:r>
        <w:rPr>
          <w:rFonts w:hint="eastAsia" w:ascii="仿宋" w:hAnsi="仿宋" w:eastAsia="仿宋"/>
          <w:color w:val="000000" w:themeColor="text1"/>
          <w:sz w:val="28"/>
          <w:szCs w:val="28"/>
          <w14:textFill>
            <w14:solidFill>
              <w14:schemeClr w14:val="tx1"/>
            </w14:solidFill>
          </w14:textFill>
        </w:rPr>
        <w:t>。</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4.参与人将按公开询价文件的规定履行合同责任和义务。</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.与本此公开询价有关的一切正式往来通讯请寄：</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地址：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邮编：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电话：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传真：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参与人授权代表签字： </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参与人（公司全称并加盖公章）：</w:t>
      </w:r>
    </w:p>
    <w:p>
      <w:pPr>
        <w:pStyle w:val="63"/>
        <w:spacing w:line="480" w:lineRule="exact"/>
        <w:jc w:val="left"/>
        <w:outlineLvl w:val="9"/>
        <w:rPr>
          <w:rFonts w:ascii="仿宋" w:hAnsi="仿宋" w:eastAsia="仿宋"/>
          <w:color w:val="000000" w:themeColor="text1"/>
          <w:szCs w:val="28"/>
          <w14:textFill>
            <w14:solidFill>
              <w14:schemeClr w14:val="tx1"/>
            </w14:solidFill>
          </w14:textFill>
        </w:rPr>
        <w:sectPr>
          <w:headerReference r:id="rId11" w:type="first"/>
          <w:headerReference r:id="rId10" w:type="default"/>
          <w:footerReference r:id="rId12"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Cs w:val="28"/>
          <w14:textFill>
            <w14:solidFill>
              <w14:schemeClr w14:val="tx1"/>
            </w14:solidFill>
          </w14:textFill>
        </w:rPr>
        <w:t xml:space="preserve">      日  期： 年 月 日</w:t>
      </w:r>
      <w:bookmarkEnd w:id="77"/>
    </w:p>
    <w:p>
      <w:pPr>
        <w:jc w:val="center"/>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、货物报价一览表</w:t>
      </w:r>
    </w:p>
    <w:p>
      <w:pPr>
        <w:spacing w:line="380" w:lineRule="exact"/>
        <w:ind w:left="147" w:leftChars="67"/>
        <w:rPr>
          <w:rFonts w:ascii="仿宋" w:hAnsi="仿宋" w:eastAsia="仿宋"/>
          <w:sz w:val="28"/>
          <w:szCs w:val="28"/>
        </w:rPr>
      </w:pPr>
      <w:bookmarkStart w:id="78" w:name="_Toc266868943"/>
      <w:bookmarkStart w:id="79" w:name="_Toc223146614"/>
      <w:bookmarkStart w:id="80" w:name="_Toc267059035"/>
      <w:bookmarkStart w:id="81" w:name="_Toc225669328"/>
      <w:bookmarkStart w:id="82" w:name="_Toc160880534"/>
      <w:bookmarkStart w:id="83" w:name="_Toc259520874"/>
      <w:bookmarkStart w:id="84" w:name="_Toc192996343"/>
      <w:bookmarkStart w:id="85" w:name="_Toc169332843"/>
      <w:bookmarkStart w:id="86" w:name="_Toc267060326"/>
      <w:bookmarkStart w:id="87" w:name="_Toc213208771"/>
      <w:bookmarkStart w:id="88" w:name="_Toc191783227"/>
      <w:bookmarkStart w:id="89" w:name="_Toc267060461"/>
      <w:bookmarkStart w:id="90" w:name="_Toc181436466"/>
      <w:bookmarkStart w:id="91" w:name="_Toc232302122"/>
      <w:bookmarkStart w:id="92" w:name="_Toc249325720"/>
      <w:bookmarkStart w:id="93" w:name="_Toc193160453"/>
      <w:bookmarkStart w:id="94" w:name="_Toc192663691"/>
      <w:bookmarkStart w:id="95" w:name="_Toc235438281"/>
      <w:bookmarkStart w:id="96" w:name="_Toc180302918"/>
      <w:bookmarkStart w:id="97" w:name="_Toc253066624"/>
      <w:bookmarkStart w:id="98" w:name="_Toc266868679"/>
      <w:bookmarkStart w:id="99" w:name="_Toc192996451"/>
      <w:bookmarkStart w:id="100" w:name="_Toc213756001"/>
      <w:bookmarkStart w:id="101" w:name="_Toc267059924"/>
      <w:bookmarkStart w:id="102" w:name="_Toc219800249"/>
      <w:bookmarkStart w:id="103" w:name="_Toc211917121"/>
      <w:bookmarkStart w:id="104" w:name="_Toc192664158"/>
      <w:bookmarkStart w:id="105" w:name="_Toc251586241"/>
      <w:bookmarkStart w:id="106" w:name="_Toc254790909"/>
      <w:bookmarkStart w:id="107" w:name="_Toc169332954"/>
      <w:bookmarkStart w:id="108" w:name="_Toc259692656"/>
      <w:bookmarkStart w:id="109" w:name="_Toc227058536"/>
      <w:bookmarkStart w:id="110" w:name="_Toc193165739"/>
      <w:bookmarkStart w:id="111" w:name="_Toc235437998"/>
      <w:bookmarkStart w:id="112" w:name="_Toc230071153"/>
      <w:bookmarkStart w:id="113" w:name="_Toc258401265"/>
      <w:bookmarkStart w:id="114" w:name="_Toc266870839"/>
      <w:bookmarkStart w:id="115" w:name="_Toc182372787"/>
      <w:bookmarkStart w:id="116" w:name="_Toc191789334"/>
      <w:bookmarkStart w:id="117" w:name="_Toc170798798"/>
      <w:bookmarkStart w:id="118" w:name="_Toc266870916"/>
      <w:bookmarkStart w:id="119" w:name="_Toc267059811"/>
      <w:bookmarkStart w:id="120" w:name="_Toc191803631"/>
      <w:bookmarkStart w:id="121" w:name="_Toc267060076"/>
      <w:bookmarkStart w:id="122" w:name="_Toc273178703"/>
      <w:bookmarkStart w:id="123" w:name="_Toc267060216"/>
      <w:bookmarkStart w:id="124" w:name="_Toc267059186"/>
      <w:bookmarkStart w:id="125" w:name="_Toc235438352"/>
      <w:bookmarkStart w:id="126" w:name="_Toc267059658"/>
      <w:bookmarkStart w:id="127" w:name="_Toc177985474"/>
      <w:bookmarkStart w:id="128" w:name="_Toc181436570"/>
      <w:bookmarkStart w:id="129" w:name="_Toc213756057"/>
      <w:bookmarkStart w:id="130" w:name="_Toc255975016"/>
      <w:bookmarkStart w:id="131" w:name="_Toc192663840"/>
      <w:bookmarkStart w:id="132" w:name="_Toc251613839"/>
      <w:bookmarkStart w:id="133" w:name="_Toc182805222"/>
      <w:bookmarkStart w:id="134" w:name="_Toc217891408"/>
      <w:bookmarkStart w:id="135" w:name="_Toc259692749"/>
      <w:bookmarkStart w:id="136" w:name="_Toc160880165"/>
      <w:bookmarkStart w:id="137" w:name="_Toc213755945"/>
      <w:bookmarkStart w:id="138" w:name="_Toc267059544"/>
      <w:bookmarkStart w:id="139" w:name="_Toc203355738"/>
      <w:bookmarkStart w:id="140" w:name="_Toc213755864"/>
      <w:bookmarkStart w:id="141" w:name="_Toc191802695"/>
      <w:bookmarkStart w:id="142" w:name="_Toc236021457"/>
      <w:bookmarkStart w:id="143" w:name="_Toc266870441"/>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line="38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7"/>
        <w:tblW w:w="13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805"/>
        <w:gridCol w:w="3438"/>
        <w:gridCol w:w="1186"/>
        <w:gridCol w:w="1279"/>
        <w:gridCol w:w="1514"/>
        <w:gridCol w:w="1125"/>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80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技术指标</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单位</w:t>
            </w:r>
          </w:p>
        </w:tc>
        <w:tc>
          <w:tcPr>
            <w:tcW w:w="127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工程量</w:t>
            </w:r>
          </w:p>
        </w:tc>
        <w:tc>
          <w:tcPr>
            <w:tcW w:w="1514"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综合</w:t>
            </w:r>
            <w:r>
              <w:rPr>
                <w:rFonts w:hint="eastAsia" w:asciiTheme="minorEastAsia" w:hAnsiTheme="minorEastAsia" w:eastAsiaTheme="minorEastAsia" w:cstheme="minorEastAsia"/>
                <w:b/>
                <w:bCs/>
                <w:sz w:val="21"/>
                <w:szCs w:val="21"/>
              </w:rPr>
              <w:t>单价（元）</w:t>
            </w: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合价</w:t>
            </w:r>
            <w:r>
              <w:rPr>
                <w:rFonts w:hint="eastAsia" w:asciiTheme="minorEastAsia" w:hAnsiTheme="minorEastAsia" w:eastAsiaTheme="minorEastAsia" w:cstheme="minorEastAsia"/>
                <w:b/>
                <w:bCs/>
                <w:sz w:val="21"/>
                <w:szCs w:val="21"/>
              </w:rPr>
              <w:t>（元）</w:t>
            </w: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拆除瓷砖踢脚线</w:t>
            </w:r>
          </w:p>
        </w:tc>
        <w:tc>
          <w:tcPr>
            <w:tcW w:w="3438" w:type="dxa"/>
            <w:vAlign w:val="center"/>
          </w:tcPr>
          <w:p>
            <w:pPr>
              <w:keepNext w:val="0"/>
              <w:keepLines w:val="0"/>
              <w:pageBreakBefore w:val="0"/>
              <w:widowControl/>
              <w:numPr>
                <w:ilvl w:val="255"/>
                <w:numId w:val="0"/>
              </w:numPr>
              <w:tabs>
                <w:tab w:val="left" w:pos="220"/>
                <w:tab w:val="left" w:pos="720"/>
              </w:tabs>
              <w:kinsoku/>
              <w:wordWrap/>
              <w:overflowPunct/>
              <w:topLinePunct w:val="0"/>
              <w:autoSpaceDE w:val="0"/>
              <w:autoSpaceDN w:val="0"/>
              <w:bidi w:val="0"/>
              <w:adjustRightInd w:val="0"/>
              <w:snapToGrid w:val="0"/>
              <w:spacing w:after="0" w:line="240" w:lineRule="exact"/>
              <w:jc w:val="center"/>
              <w:textAlignment w:val="auto"/>
              <w:rPr>
                <w:rFonts w:hint="eastAsia" w:asciiTheme="minorEastAsia" w:hAnsiTheme="minorEastAsia" w:eastAsiaTheme="minorEastAsia" w:cstheme="minorEastAsia"/>
                <w:color w:val="535353"/>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65</w:t>
            </w:r>
          </w:p>
        </w:tc>
        <w:tc>
          <w:tcPr>
            <w:tcW w:w="1514"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拆除灰镜</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7.39</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拆除舞台</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项</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墙面原有腻子及乳胶漆铲除</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165.8</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墙面原有腻子及乳胶漆修补</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165.8</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自流平找平</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两遍腻子及乳胶漆</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210</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PVC</w:t>
            </w:r>
            <w:r>
              <w:rPr>
                <w:rFonts w:hint="eastAsia" w:asciiTheme="minorEastAsia" w:hAnsiTheme="minorEastAsia" w:eastAsiaTheme="minorEastAsia" w:cstheme="minorEastAsia"/>
                <w:color w:val="000000"/>
                <w:sz w:val="21"/>
                <w:szCs w:val="21"/>
              </w:rPr>
              <w:t>地板胶铺贴</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地板胶5mm厚</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210</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提供品牌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不锈钢踢脚线安装</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木基层，不锈钢制作安装</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62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银镜安装</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墙面银镜制作安装，安装高度2.4m</w:t>
            </w: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27.67</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银镜周边不锈钢包边</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22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栏杆安装</w:t>
            </w:r>
          </w:p>
        </w:tc>
        <w:tc>
          <w:tcPr>
            <w:tcW w:w="3438"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86"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m</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36.12</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鞋柜</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18mm生态板现场制作</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个</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47"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w:t>
            </w:r>
          </w:p>
        </w:tc>
        <w:tc>
          <w:tcPr>
            <w:tcW w:w="2805"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其他</w:t>
            </w:r>
          </w:p>
        </w:tc>
        <w:tc>
          <w:tcPr>
            <w:tcW w:w="3438" w:type="dxa"/>
            <w:vAlign w:val="center"/>
          </w:tcPr>
          <w:p>
            <w:pPr>
              <w:keepNext w:val="0"/>
              <w:keepLines w:val="0"/>
              <w:pageBreakBefore w:val="0"/>
              <w:widowControl/>
              <w:kinsoku/>
              <w:wordWrap/>
              <w:overflowPunct/>
              <w:topLinePunct w:val="0"/>
              <w:bidi w:val="0"/>
              <w:spacing w:after="0" w:line="24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rPr>
              <w:t>材料</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建渣</w:t>
            </w:r>
            <w:r>
              <w:rPr>
                <w:rFonts w:hint="eastAsia" w:asciiTheme="minorEastAsia" w:hAnsiTheme="minorEastAsia" w:eastAsiaTheme="minorEastAsia" w:cstheme="minorEastAsia"/>
                <w:color w:val="000000"/>
                <w:sz w:val="21"/>
                <w:szCs w:val="21"/>
              </w:rPr>
              <w:t>转运</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卫生保洁</w:t>
            </w:r>
          </w:p>
        </w:tc>
        <w:tc>
          <w:tcPr>
            <w:tcW w:w="1186"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1279" w:type="dxa"/>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1</w:t>
            </w:r>
          </w:p>
        </w:tc>
        <w:tc>
          <w:tcPr>
            <w:tcW w:w="1514" w:type="dxa"/>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125"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c>
          <w:tcPr>
            <w:tcW w:w="1319" w:type="dxa"/>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13" w:type="dxa"/>
            <w:gridSpan w:val="8"/>
            <w:vAlign w:val="center"/>
          </w:tcPr>
          <w:p>
            <w:pPr>
              <w:keepNext w:val="0"/>
              <w:keepLines w:val="0"/>
              <w:pageBreakBefore w:val="0"/>
              <w:widowControl/>
              <w:kinsoku/>
              <w:wordWrap/>
              <w:overflowPunct/>
              <w:topLinePunct w:val="0"/>
              <w:bidi w:val="0"/>
              <w:snapToGrid w:val="0"/>
              <w:spacing w:after="0" w:line="240" w:lineRule="exact"/>
              <w:jc w:val="center"/>
              <w:textAlignment w:val="auto"/>
              <w:rPr>
                <w:rFonts w:ascii="仿宋_GB2312" w:hAnsi="仿宋_GB2312" w:eastAsia="仿宋_GB2312" w:cs="仿宋_GB2312"/>
                <w:sz w:val="21"/>
                <w:szCs w:val="21"/>
              </w:rPr>
            </w:pPr>
            <w:r>
              <w:rPr>
                <w:rFonts w:hint="eastAsia" w:cs="仿宋_GB2312" w:asciiTheme="minorEastAsia" w:hAnsiTheme="minorEastAsia"/>
                <w:sz w:val="21"/>
                <w:szCs w:val="21"/>
              </w:rPr>
              <w:t xml:space="preserve">合计（含税）：大写人民币 </w:t>
            </w:r>
            <w:r>
              <w:rPr>
                <w:rFonts w:cs="仿宋_GB2312" w:asciiTheme="minorEastAsia" w:hAnsiTheme="minorEastAsia"/>
                <w:sz w:val="21"/>
                <w:szCs w:val="21"/>
              </w:rPr>
              <w:t xml:space="preserve">             </w:t>
            </w:r>
            <w:r>
              <w:rPr>
                <w:rFonts w:hint="eastAsia" w:cs="仿宋_GB2312" w:asciiTheme="minorEastAsia" w:hAnsiTheme="minorEastAsia"/>
                <w:sz w:val="21"/>
                <w:szCs w:val="21"/>
              </w:rPr>
              <w:t>小写￥</w:t>
            </w:r>
          </w:p>
        </w:tc>
      </w:tr>
    </w:tbl>
    <w:p>
      <w:pPr>
        <w:keepNext w:val="0"/>
        <w:keepLines w:val="0"/>
        <w:pageBreakBefore w:val="0"/>
        <w:widowControl/>
        <w:kinsoku/>
        <w:wordWrap/>
        <w:overflowPunct/>
        <w:topLinePunct w:val="0"/>
        <w:autoSpaceDE/>
        <w:autoSpaceDN/>
        <w:bidi w:val="0"/>
        <w:adjustRightInd/>
        <w:snapToGrid/>
        <w:spacing w:after="0" w:line="320" w:lineRule="exact"/>
        <w:textAlignment w:val="auto"/>
        <w:rPr>
          <w:rFonts w:ascii="仿宋" w:hAnsi="仿宋" w:eastAsia="仿宋" w:cs="宋体"/>
          <w:color w:val="000000"/>
          <w:sz w:val="24"/>
          <w:szCs w:val="24"/>
        </w:rPr>
      </w:pPr>
      <w:r>
        <w:rPr>
          <w:rFonts w:hint="eastAsia" w:ascii="仿宋" w:hAnsi="仿宋" w:eastAsia="仿宋" w:cs="宋体"/>
          <w:color w:val="000000"/>
          <w:sz w:val="24"/>
          <w:szCs w:val="24"/>
        </w:rPr>
        <w:t>说明：1、此报价表采用全费用包干总价进行结算。</w:t>
      </w:r>
    </w:p>
    <w:p>
      <w:pPr>
        <w:keepNext w:val="0"/>
        <w:keepLines w:val="0"/>
        <w:pageBreakBefore w:val="0"/>
        <w:widowControl/>
        <w:kinsoku/>
        <w:wordWrap/>
        <w:overflowPunct/>
        <w:topLinePunct w:val="0"/>
        <w:autoSpaceDE/>
        <w:autoSpaceDN/>
        <w:bidi w:val="0"/>
        <w:adjustRightInd/>
        <w:snapToGrid/>
        <w:spacing w:after="0" w:line="320" w:lineRule="exact"/>
        <w:textAlignment w:val="auto"/>
        <w:rPr>
          <w:rFonts w:ascii="仿宋" w:hAnsi="仿宋" w:eastAsia="仿宋"/>
          <w:color w:val="000000" w:themeColor="text1"/>
          <w:sz w:val="28"/>
          <w:szCs w:val="28"/>
          <w:lang w:val="zh-CN"/>
          <w14:textFill>
            <w14:solidFill>
              <w14:schemeClr w14:val="tx1"/>
            </w14:solidFill>
          </w14:textFill>
        </w:rPr>
      </w:pPr>
      <w:r>
        <w:rPr>
          <w:rFonts w:hint="eastAsia" w:ascii="仿宋" w:hAnsi="仿宋" w:eastAsia="仿宋" w:cs="宋体"/>
          <w:color w:val="000000"/>
          <w:sz w:val="24"/>
          <w:szCs w:val="24"/>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spacing w:after="0" w:line="380" w:lineRule="exact"/>
        <w:ind w:firstLine="5460" w:firstLineChars="1950"/>
        <w:jc w:val="left"/>
        <w:rPr>
          <w:rFonts w:ascii="仿宋" w:hAnsi="仿宋" w:eastAsia="仿宋"/>
          <w:sz w:val="28"/>
          <w:szCs w:val="28"/>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240" w:lineRule="auto"/>
        <w:jc w:val="left"/>
        <w:rPr>
          <w:rFonts w:ascii="仿宋" w:hAnsi="仿宋" w:eastAsia="仿宋"/>
          <w:b/>
          <w:bCs/>
          <w:color w:val="000000" w:themeColor="text1"/>
          <w:sz w:val="28"/>
          <w:szCs w:val="28"/>
          <w14:textFill>
            <w14:solidFill>
              <w14:schemeClr w14:val="tx1"/>
            </w14:solidFill>
          </w14:textFill>
        </w:rPr>
        <w:sectPr>
          <w:pgSz w:w="16838" w:h="11906" w:orient="landscape"/>
          <w:pgMar w:top="1134" w:right="1440" w:bottom="1417" w:left="1440" w:header="851" w:footer="992" w:gutter="0"/>
          <w:cols w:space="0" w:num="1"/>
          <w:titlePg/>
          <w:docGrid w:type="lines" w:linePitch="322" w:charSpace="0"/>
        </w:sectPr>
      </w:pPr>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3</w:t>
      </w:r>
      <w:r>
        <w:rPr>
          <w:rFonts w:hint="eastAsia" w:ascii="仿宋" w:hAnsi="仿宋" w:eastAsia="仿宋"/>
          <w:b/>
          <w:bCs/>
          <w:color w:val="000000" w:themeColor="text1"/>
          <w:sz w:val="28"/>
          <w:szCs w:val="28"/>
          <w14:textFill>
            <w14:solidFill>
              <w14:schemeClr w14:val="tx1"/>
            </w14:solidFill>
          </w14:textFill>
        </w:rPr>
        <w:t>、参与人的资格证明文件</w:t>
      </w:r>
    </w:p>
    <w:p>
      <w:pPr>
        <w:pStyle w:val="63"/>
        <w:rPr>
          <w:rFonts w:ascii="仿宋" w:hAnsi="仿宋" w:eastAsia="仿宋"/>
          <w:color w:val="000000" w:themeColor="text1"/>
          <w:szCs w:val="28"/>
          <w14:textFill>
            <w14:solidFill>
              <w14:schemeClr w14:val="tx1"/>
            </w14:solidFill>
          </w14:textFill>
        </w:rPr>
      </w:pP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bookmarkStart w:id="144" w:name="_Toc251586242"/>
      <w:bookmarkStart w:id="145" w:name="_Toc227058537"/>
      <w:bookmarkStart w:id="146" w:name="_Toc213756058"/>
      <w:bookmarkStart w:id="147" w:name="_Toc217891409"/>
      <w:bookmarkStart w:id="148" w:name="_Toc223146615"/>
      <w:bookmarkStart w:id="149" w:name="_Toc267060462"/>
      <w:bookmarkStart w:id="150" w:name="_Toc249325721"/>
      <w:bookmarkStart w:id="151" w:name="_Toc267060077"/>
      <w:bookmarkStart w:id="152" w:name="_Toc254790910"/>
      <w:bookmarkStart w:id="153" w:name="_Toc251613840"/>
      <w:bookmarkStart w:id="154" w:name="_Toc266868680"/>
      <w:bookmarkStart w:id="155" w:name="_Toc255975017"/>
      <w:bookmarkStart w:id="156" w:name="_Toc230071154"/>
      <w:bookmarkStart w:id="157" w:name="_Toc235438282"/>
      <w:bookmarkStart w:id="158" w:name="_Toc259520875"/>
      <w:bookmarkStart w:id="159" w:name="_Toc267060217"/>
      <w:bookmarkStart w:id="160" w:name="_Toc266870917"/>
      <w:bookmarkStart w:id="161" w:name="_Toc253066625"/>
      <w:bookmarkStart w:id="162" w:name="_Toc235438353"/>
      <w:bookmarkStart w:id="163" w:name="_Toc232302123"/>
      <w:bookmarkStart w:id="164" w:name="_Toc225669329"/>
      <w:bookmarkStart w:id="165" w:name="_Toc259692657"/>
      <w:bookmarkStart w:id="166" w:name="_Toc266870442"/>
      <w:bookmarkStart w:id="167" w:name="_Toc259692750"/>
      <w:bookmarkStart w:id="168" w:name="_Toc235437999"/>
      <w:bookmarkStart w:id="169" w:name="_Toc236021458"/>
      <w:bookmarkStart w:id="170" w:name="_Toc258401266"/>
      <w:bookmarkStart w:id="171" w:name="_Toc219800250"/>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-1关于资格的声明函</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Fonts w:hint="eastAsia" w:ascii="仿宋" w:hAnsi="仿宋" w:eastAsia="仿宋"/>
          <w:b/>
          <w:color w:val="000000" w:themeColor="text1"/>
          <w:sz w:val="28"/>
          <w:szCs w:val="28"/>
          <w14:textFill>
            <w14:solidFill>
              <w14:schemeClr w14:val="tx1"/>
            </w14:solidFill>
          </w14:textFill>
        </w:rPr>
        <w:cr/>
      </w:r>
    </w:p>
    <w:p>
      <w:pPr>
        <w:spacing w:after="0" w:line="500" w:lineRule="exact"/>
        <w:rPr>
          <w:rFonts w:ascii="仿宋" w:hAnsi="仿宋" w:eastAsia="仿宋"/>
          <w:color w:val="000000" w:themeColor="text1"/>
          <w:sz w:val="28"/>
          <w:szCs w:val="28"/>
          <w14:textFill>
            <w14:solidFill>
              <w14:schemeClr w14:val="tx1"/>
            </w14:solidFill>
          </w14:textFill>
        </w:rPr>
      </w:pPr>
      <w:bookmarkStart w:id="172" w:name="_Hlk511663739"/>
      <w:r>
        <w:rPr>
          <w:rFonts w:hint="eastAsia" w:ascii="仿宋" w:hAnsi="仿宋" w:eastAsia="仿宋"/>
          <w:color w:val="000000" w:themeColor="text1"/>
          <w:sz w:val="28"/>
          <w:szCs w:val="28"/>
          <w14:textFill>
            <w14:solidFill>
              <w14:schemeClr w14:val="tx1"/>
            </w14:solidFill>
          </w14:textFill>
        </w:rPr>
        <w:t>重庆外语外事学院：</w:t>
      </w:r>
      <w:bookmarkEnd w:id="172"/>
    </w:p>
    <w:p>
      <w:pPr>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关于贵方xxxx年xx月xx日 （）公开询价邀请，本签字人愿意参加本次报价，提供公开询价文件中规定的货物，并证明提交的下列文件和说明是准确的和真实的。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2．我方的资格声明正本1份，副本1份，随报价响应文件一同递交。</w:t>
      </w: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地     址：</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邮     编：</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电话或传真：</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bookmarkStart w:id="173" w:name="_Toc251586243"/>
      <w:bookmarkStart w:id="174" w:name="_Toc230071155"/>
      <w:bookmarkStart w:id="175" w:name="_Toc258401267"/>
      <w:bookmarkStart w:id="176" w:name="_Toc255975018"/>
      <w:bookmarkStart w:id="177" w:name="_Toc253066626"/>
      <w:bookmarkStart w:id="178" w:name="_Toc235438354"/>
      <w:bookmarkStart w:id="179" w:name="_Toc266868681"/>
      <w:bookmarkStart w:id="180" w:name="_Toc227058538"/>
      <w:bookmarkStart w:id="181" w:name="_Toc259692658"/>
      <w:bookmarkStart w:id="182" w:name="_Toc259692751"/>
      <w:bookmarkStart w:id="183" w:name="_Toc225669330"/>
      <w:bookmarkStart w:id="184" w:name="_Toc219800251"/>
      <w:bookmarkStart w:id="185" w:name="_Toc251613841"/>
      <w:bookmarkStart w:id="186" w:name="_Toc235438283"/>
      <w:bookmarkStart w:id="187" w:name="_Toc254790911"/>
      <w:bookmarkStart w:id="188" w:name="_Toc232302124"/>
      <w:bookmarkStart w:id="189" w:name="_Toc223146616"/>
      <w:bookmarkStart w:id="190" w:name="_Toc213756059"/>
      <w:bookmarkStart w:id="191" w:name="_Toc235438000"/>
      <w:bookmarkStart w:id="192" w:name="_Toc217891410"/>
      <w:bookmarkStart w:id="193" w:name="_Toc249325722"/>
      <w:bookmarkStart w:id="194" w:name="_Toc266870443"/>
      <w:bookmarkStart w:id="195" w:name="_Toc266870918"/>
      <w:bookmarkStart w:id="196" w:name="_Toc259520876"/>
      <w:bookmarkStart w:id="197" w:name="_Toc236021459"/>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企业</w:t>
      </w:r>
      <w:r>
        <w:rPr>
          <w:rFonts w:hint="eastAsia" w:ascii="仿宋" w:hAnsi="仿宋" w:eastAsia="仿宋"/>
          <w:b/>
          <w:color w:val="000000" w:themeColor="text1"/>
          <w:sz w:val="28"/>
          <w:szCs w:val="28"/>
          <w14:textFill>
            <w14:solidFill>
              <w14:schemeClr w14:val="tx1"/>
            </w14:solidFill>
          </w14:textFill>
        </w:rPr>
        <w:t>法人营业执照（复印件并加盖公章）</w:t>
      </w:r>
    </w:p>
    <w:p>
      <w:pPr>
        <w:jc w:val="center"/>
        <w:outlineLvl w:val="1"/>
        <w:rPr>
          <w:rFonts w:ascii="仿宋" w:hAnsi="仿宋" w:eastAsia="仿宋"/>
          <w:b/>
          <w:color w:val="000000" w:themeColor="text1"/>
          <w:sz w:val="28"/>
          <w:szCs w:val="28"/>
          <w14:textFill>
            <w14:solidFill>
              <w14:schemeClr w14:val="tx1"/>
            </w14:solidFill>
          </w14:textFill>
        </w:rPr>
      </w:pPr>
    </w:p>
    <w:p>
      <w:pPr>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重庆外语外事学院：</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现附上由（签发机关名称）签发的我方法人营业执照复印件，该执照业经年检，真实有效。</w:t>
      </w: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 与 人（全称并加盖公章）：</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zh-CN"/>
          <w14:textFill>
            <w14:solidFill>
              <w14:schemeClr w14:val="tx1"/>
            </w14:solidFill>
          </w14:textFill>
        </w:rPr>
        <w:t>参与人授权代表</w:t>
      </w:r>
      <w:r>
        <w:rPr>
          <w:rFonts w:hint="eastAsia" w:ascii="仿宋" w:hAnsi="仿宋" w:eastAsia="仿宋"/>
          <w:color w:val="000000" w:themeColor="text1"/>
          <w:sz w:val="28"/>
          <w:szCs w:val="28"/>
          <w14:textFill>
            <w14:solidFill>
              <w14:schemeClr w14:val="tx1"/>
            </w14:solidFill>
          </w14:textFill>
        </w:rPr>
        <w:t>：</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日      期：</w:t>
      </w: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br w:type="page"/>
      </w:r>
      <w:bookmarkStart w:id="198" w:name="_Toc232302127"/>
      <w:bookmarkStart w:id="199" w:name="_Toc192663694"/>
      <w:bookmarkStart w:id="200" w:name="_Toc251613844"/>
      <w:bookmarkStart w:id="201" w:name="_Toc203355741"/>
      <w:bookmarkStart w:id="202" w:name="_Toc267060080"/>
      <w:bookmarkStart w:id="203" w:name="_Toc236021462"/>
      <w:bookmarkStart w:id="204" w:name="_Toc259692663"/>
      <w:bookmarkStart w:id="205" w:name="_Toc180302921"/>
      <w:bookmarkStart w:id="206" w:name="_Toc266868686"/>
      <w:bookmarkStart w:id="207" w:name="_Toc235438003"/>
      <w:bookmarkStart w:id="208" w:name="_Toc254790914"/>
      <w:bookmarkStart w:id="209" w:name="_Toc266870447"/>
      <w:bookmarkStart w:id="210" w:name="_Toc259520879"/>
      <w:bookmarkStart w:id="211" w:name="_Toc267060220"/>
      <w:bookmarkStart w:id="212" w:name="_Toc255975023"/>
      <w:bookmarkStart w:id="213" w:name="_Toc266870922"/>
      <w:bookmarkStart w:id="214" w:name="_Toc235438357"/>
      <w:bookmarkStart w:id="215" w:name="_Toc192996346"/>
      <w:bookmarkStart w:id="216" w:name="_Toc258401270"/>
      <w:bookmarkStart w:id="217" w:name="_Toc181436573"/>
      <w:bookmarkStart w:id="218" w:name="_Toc254790916"/>
      <w:bookmarkStart w:id="219" w:name="_Toc249325725"/>
      <w:bookmarkStart w:id="220" w:name="_Toc267060466"/>
      <w:bookmarkStart w:id="221" w:name="_Toc181436469"/>
      <w:bookmarkStart w:id="222" w:name="_Toc192996454"/>
      <w:bookmarkStart w:id="223" w:name="_Toc266868684"/>
      <w:bookmarkStart w:id="224" w:name="_Toc211917124"/>
      <w:bookmarkStart w:id="225" w:name="_Toc235438286"/>
      <w:bookmarkStart w:id="226" w:name="_Toc266870921"/>
      <w:bookmarkStart w:id="227" w:name="_Toc191789337"/>
      <w:bookmarkStart w:id="228" w:name="_Toc259692754"/>
      <w:bookmarkStart w:id="229" w:name="_Toc191803634"/>
      <w:bookmarkStart w:id="230" w:name="_Toc258401272"/>
      <w:bookmarkStart w:id="231" w:name="_Toc255975021"/>
      <w:bookmarkStart w:id="232" w:name="_Toc267060081"/>
      <w:bookmarkStart w:id="233" w:name="_Toc266870446"/>
      <w:bookmarkStart w:id="234" w:name="_Toc253066629"/>
      <w:bookmarkStart w:id="235" w:name="_Toc182372790"/>
      <w:bookmarkStart w:id="236" w:name="_Toc177985477"/>
      <w:bookmarkStart w:id="237" w:name="_Toc170798801"/>
      <w:bookmarkStart w:id="238" w:name="_Toc259692756"/>
      <w:bookmarkStart w:id="239" w:name="_Toc192664161"/>
      <w:bookmarkStart w:id="240" w:name="_Toc267060221"/>
      <w:bookmarkStart w:id="241" w:name="_Toc259520881"/>
      <w:bookmarkStart w:id="242" w:name="_Toc169332846"/>
      <w:bookmarkStart w:id="243" w:name="_Toc191802698"/>
      <w:bookmarkStart w:id="244" w:name="_Toc267060465"/>
      <w:bookmarkStart w:id="245" w:name="_Toc193160456"/>
      <w:bookmarkStart w:id="246" w:name="_Toc182805225"/>
      <w:bookmarkStart w:id="247" w:name="_Toc169332957"/>
      <w:bookmarkStart w:id="248" w:name="_Toc251586246"/>
      <w:bookmarkStart w:id="249" w:name="_Toc160880168"/>
      <w:bookmarkStart w:id="250" w:name="_Toc191783230"/>
      <w:bookmarkStart w:id="251" w:name="_Toc193165742"/>
      <w:bookmarkStart w:id="252" w:name="_Toc160880537"/>
      <w:bookmarkStart w:id="253" w:name="_Toc259692661"/>
      <w:bookmarkStart w:id="254" w:name="_Toc192663843"/>
    </w:p>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Pr>
        <w:spacing w:after="0" w:line="480" w:lineRule="exact"/>
        <w:ind w:firstLine="570"/>
        <w:jc w:val="center"/>
        <w:rPr>
          <w:rFonts w:ascii="仿宋" w:hAnsi="仿宋" w:eastAsia="仿宋"/>
          <w:b/>
          <w:bCs/>
          <w:color w:val="000000" w:themeColor="text1"/>
          <w:sz w:val="28"/>
          <w:szCs w:val="28"/>
          <w14:textFill>
            <w14:solidFill>
              <w14:schemeClr w14:val="tx1"/>
            </w14:solidFill>
          </w14:textFill>
        </w:rPr>
      </w:pPr>
      <w:bookmarkStart w:id="255" w:name="_Toc267059925"/>
      <w:bookmarkStart w:id="256" w:name="_Toc235438004"/>
      <w:bookmarkStart w:id="257" w:name="_Toc267060082"/>
      <w:bookmarkStart w:id="258" w:name="_Toc267060467"/>
      <w:bookmarkStart w:id="259" w:name="_Toc235438287"/>
      <w:bookmarkStart w:id="260" w:name="_Toc266870840"/>
      <w:bookmarkStart w:id="261" w:name="_Toc232302128"/>
      <w:bookmarkStart w:id="262" w:name="_Toc267059187"/>
      <w:bookmarkStart w:id="263" w:name="_Toc266868944"/>
      <w:bookmarkStart w:id="264" w:name="_Toc267059545"/>
      <w:bookmarkStart w:id="265" w:name="_Toc236021463"/>
      <w:bookmarkStart w:id="266" w:name="_Toc267059659"/>
      <w:bookmarkStart w:id="267" w:name="_Toc253066630"/>
      <w:bookmarkStart w:id="268" w:name="_Toc235438358"/>
      <w:bookmarkStart w:id="269" w:name="_Toc266870448"/>
      <w:bookmarkStart w:id="270" w:name="_Toc258401273"/>
      <w:bookmarkStart w:id="271" w:name="_Toc255975024"/>
      <w:bookmarkStart w:id="272" w:name="_Toc259520882"/>
      <w:bookmarkStart w:id="273" w:name="_Toc267060327"/>
      <w:bookmarkStart w:id="274" w:name="_Toc259692757"/>
      <w:bookmarkStart w:id="275" w:name="_Toc266868687"/>
      <w:bookmarkStart w:id="276" w:name="_Toc251613845"/>
      <w:bookmarkStart w:id="277" w:name="_Toc251586247"/>
      <w:bookmarkStart w:id="278" w:name="_Toc267059036"/>
      <w:bookmarkStart w:id="279" w:name="_Toc259692664"/>
      <w:bookmarkStart w:id="280" w:name="_Toc267059812"/>
      <w:bookmarkStart w:id="281" w:name="_Toc249325726"/>
      <w:bookmarkStart w:id="282" w:name="_Toc254790917"/>
      <w:bookmarkStart w:id="283" w:name="_Toc267060222"/>
      <w:bookmarkStart w:id="284" w:name="_Toc273178704"/>
      <w:bookmarkStart w:id="285" w:name="_Toc266870923"/>
      <w:r>
        <w:rPr>
          <w:rFonts w:ascii="仿宋" w:hAnsi="仿宋" w:eastAsia="仿宋"/>
          <w:b/>
          <w:bCs/>
          <w:color w:val="000000" w:themeColor="text1"/>
          <w:sz w:val="28"/>
          <w:szCs w:val="28"/>
          <w14:textFill>
            <w14:solidFill>
              <w14:schemeClr w14:val="tx1"/>
            </w14:solidFill>
          </w14:textFill>
        </w:rPr>
        <w:t>4.</w:t>
      </w:r>
      <w:r>
        <w:rPr>
          <w:rFonts w:hint="eastAsia" w:ascii="仿宋" w:hAnsi="仿宋" w:eastAsia="仿宋"/>
          <w:b/>
          <w:bCs/>
          <w:color w:val="000000" w:themeColor="text1"/>
          <w:sz w:val="28"/>
          <w:szCs w:val="28"/>
          <w14:textFill>
            <w14:solidFill>
              <w14:schemeClr w14:val="tx1"/>
            </w14:solidFill>
          </w14:textFill>
        </w:rPr>
        <w:t>质保和后期服务承诺书</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rPr>
          <w:rFonts w:ascii="仿宋" w:hAnsi="仿宋" w:eastAsia="仿宋"/>
          <w:b/>
          <w:color w:val="000000" w:themeColor="text1"/>
          <w:sz w:val="28"/>
          <w:szCs w:val="28"/>
          <w14:textFill>
            <w14:solidFill>
              <w14:schemeClr w14:val="tx1"/>
            </w14:solidFill>
          </w14:textFill>
        </w:rPr>
      </w:pP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参与人根据公开询价文件中对售后服务的要求，结合自身实际情况进行承诺</w:t>
      </w:r>
      <w:r>
        <w:rPr>
          <w:rFonts w:ascii="仿宋" w:hAnsi="仿宋" w:eastAsia="仿宋"/>
          <w:color w:val="000000" w:themeColor="text1"/>
          <w:sz w:val="28"/>
          <w:szCs w:val="28"/>
          <w14:textFill>
            <w14:solidFill>
              <w14:schemeClr w14:val="tx1"/>
            </w14:solidFill>
          </w14:textFill>
        </w:rPr>
        <w:t>（含</w:t>
      </w:r>
      <w:r>
        <w:rPr>
          <w:rFonts w:hint="eastAsia" w:ascii="仿宋" w:hAnsi="仿宋" w:eastAsia="仿宋"/>
          <w:color w:val="000000" w:themeColor="text1"/>
          <w:sz w:val="28"/>
          <w:szCs w:val="28"/>
          <w14:textFill>
            <w14:solidFill>
              <w14:schemeClr w14:val="tx1"/>
            </w14:solidFill>
          </w14:textFill>
        </w:rPr>
        <w:t>产品质量</w:t>
      </w:r>
      <w:r>
        <w:rPr>
          <w:rFonts w:ascii="仿宋" w:hAnsi="仿宋" w:eastAsia="仿宋"/>
          <w:color w:val="000000" w:themeColor="text1"/>
          <w:sz w:val="28"/>
          <w:szCs w:val="28"/>
          <w14:textFill>
            <w14:solidFill>
              <w14:schemeClr w14:val="tx1"/>
            </w14:solidFill>
          </w14:textFill>
        </w:rPr>
        <w:t>保障体系等）、交货</w:t>
      </w:r>
      <w:r>
        <w:rPr>
          <w:rFonts w:hint="eastAsia" w:ascii="仿宋" w:hAnsi="仿宋" w:eastAsia="仿宋"/>
          <w:color w:val="000000" w:themeColor="text1"/>
          <w:sz w:val="28"/>
          <w:szCs w:val="28"/>
          <w14:textFill>
            <w14:solidFill>
              <w14:schemeClr w14:val="tx1"/>
            </w14:solidFill>
          </w14:textFill>
        </w:rPr>
        <w:t>周</w:t>
      </w:r>
      <w:r>
        <w:rPr>
          <w:rFonts w:ascii="仿宋" w:hAnsi="仿宋" w:eastAsia="仿宋"/>
          <w:color w:val="000000" w:themeColor="text1"/>
          <w:sz w:val="28"/>
          <w:szCs w:val="28"/>
          <w14:textFill>
            <w14:solidFill>
              <w14:schemeClr w14:val="tx1"/>
            </w14:solidFill>
          </w14:textFill>
        </w:rPr>
        <w:t>期承诺等</w:t>
      </w:r>
      <w:r>
        <w:rPr>
          <w:rFonts w:hint="eastAsia" w:ascii="仿宋" w:hAnsi="仿宋" w:eastAsia="仿宋"/>
          <w:color w:val="000000" w:themeColor="text1"/>
          <w:sz w:val="28"/>
          <w:szCs w:val="28"/>
          <w14:textFill>
            <w14:solidFill>
              <w14:schemeClr w14:val="tx1"/>
            </w14:solidFill>
          </w14:textFill>
        </w:rPr>
        <w:t>。</w:t>
      </w:r>
    </w:p>
    <w:p>
      <w:pPr>
        <w:spacing w:line="500" w:lineRule="exact"/>
        <w:ind w:firstLine="48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承诺如下：</w:t>
      </w:r>
    </w:p>
    <w:p>
      <w:pPr>
        <w:spacing w:line="420" w:lineRule="exact"/>
        <w:ind w:firstLine="480"/>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ind w:firstLine="3640" w:firstLineChars="1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 与 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380" w:lineRule="exact"/>
        <w:ind w:firstLine="5880" w:firstLineChars="21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p>
    <w:p>
      <w:pPr>
        <w:spacing w:line="420" w:lineRule="exact"/>
        <w:ind w:firstLine="6440" w:firstLineChars="2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日     期：</w:t>
      </w:r>
    </w:p>
    <w:p>
      <w:pPr>
        <w:spacing w:line="380" w:lineRule="exact"/>
        <w:rPr>
          <w:rFonts w:ascii="仿宋" w:hAnsi="仿宋" w:eastAsia="仿宋"/>
          <w:color w:val="000000" w:themeColor="text1"/>
          <w:sz w:val="28"/>
          <w:szCs w:val="28"/>
          <w14:textFill>
            <w14:solidFill>
              <w14:schemeClr w14:val="tx1"/>
            </w14:solidFill>
          </w14:textFill>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p>
  <w:p>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285908"/>
    <w:multiLevelType w:val="singleLevel"/>
    <w:tmpl w:val="4D28590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10"/>
  <w:drawingGridVerticalSpacing w:val="161"/>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37E30"/>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A1E60"/>
    <w:rsid w:val="000C0ADC"/>
    <w:rsid w:val="000E1DD1"/>
    <w:rsid w:val="000E7F0C"/>
    <w:rsid w:val="000F4F45"/>
    <w:rsid w:val="000F66B7"/>
    <w:rsid w:val="001030C6"/>
    <w:rsid w:val="00120CC1"/>
    <w:rsid w:val="00126009"/>
    <w:rsid w:val="0013118F"/>
    <w:rsid w:val="001561E9"/>
    <w:rsid w:val="001729A2"/>
    <w:rsid w:val="00176CD4"/>
    <w:rsid w:val="00181C04"/>
    <w:rsid w:val="00182C6E"/>
    <w:rsid w:val="001901ED"/>
    <w:rsid w:val="001A2C54"/>
    <w:rsid w:val="001A5B43"/>
    <w:rsid w:val="001B719E"/>
    <w:rsid w:val="001C6943"/>
    <w:rsid w:val="001D2BB3"/>
    <w:rsid w:val="001E75D3"/>
    <w:rsid w:val="001F2393"/>
    <w:rsid w:val="00226885"/>
    <w:rsid w:val="0023028B"/>
    <w:rsid w:val="00235C32"/>
    <w:rsid w:val="00244E90"/>
    <w:rsid w:val="00245806"/>
    <w:rsid w:val="00246D51"/>
    <w:rsid w:val="0025668E"/>
    <w:rsid w:val="00257789"/>
    <w:rsid w:val="002772BB"/>
    <w:rsid w:val="00290188"/>
    <w:rsid w:val="0029068A"/>
    <w:rsid w:val="00292468"/>
    <w:rsid w:val="002C2C3D"/>
    <w:rsid w:val="002C3845"/>
    <w:rsid w:val="002C4297"/>
    <w:rsid w:val="002C55EF"/>
    <w:rsid w:val="002D1F84"/>
    <w:rsid w:val="002D2852"/>
    <w:rsid w:val="002F795A"/>
    <w:rsid w:val="00317A5B"/>
    <w:rsid w:val="00326F3A"/>
    <w:rsid w:val="00333DF5"/>
    <w:rsid w:val="00334E6F"/>
    <w:rsid w:val="003359C2"/>
    <w:rsid w:val="003570A0"/>
    <w:rsid w:val="00361B92"/>
    <w:rsid w:val="00366367"/>
    <w:rsid w:val="00382D9B"/>
    <w:rsid w:val="00385087"/>
    <w:rsid w:val="00397A32"/>
    <w:rsid w:val="003B4F7D"/>
    <w:rsid w:val="003C60EF"/>
    <w:rsid w:val="003D2633"/>
    <w:rsid w:val="003E6439"/>
    <w:rsid w:val="003F20A6"/>
    <w:rsid w:val="00404FA2"/>
    <w:rsid w:val="004242F4"/>
    <w:rsid w:val="004262D6"/>
    <w:rsid w:val="0043243C"/>
    <w:rsid w:val="004341DA"/>
    <w:rsid w:val="00441955"/>
    <w:rsid w:val="004420EC"/>
    <w:rsid w:val="00463B84"/>
    <w:rsid w:val="00464A0D"/>
    <w:rsid w:val="00465E75"/>
    <w:rsid w:val="0047053F"/>
    <w:rsid w:val="004A199C"/>
    <w:rsid w:val="004B25FE"/>
    <w:rsid w:val="004B41BC"/>
    <w:rsid w:val="004B49C1"/>
    <w:rsid w:val="004B66B1"/>
    <w:rsid w:val="004C21AD"/>
    <w:rsid w:val="004C21F5"/>
    <w:rsid w:val="004D05DB"/>
    <w:rsid w:val="004F7296"/>
    <w:rsid w:val="00502F52"/>
    <w:rsid w:val="0051328B"/>
    <w:rsid w:val="00513D0D"/>
    <w:rsid w:val="0052624B"/>
    <w:rsid w:val="005323AA"/>
    <w:rsid w:val="00541D19"/>
    <w:rsid w:val="0055400F"/>
    <w:rsid w:val="00565BDF"/>
    <w:rsid w:val="0056798C"/>
    <w:rsid w:val="0057673D"/>
    <w:rsid w:val="00582530"/>
    <w:rsid w:val="00590957"/>
    <w:rsid w:val="0059336F"/>
    <w:rsid w:val="00595285"/>
    <w:rsid w:val="005A2C54"/>
    <w:rsid w:val="005A5A4D"/>
    <w:rsid w:val="005B0077"/>
    <w:rsid w:val="005B4036"/>
    <w:rsid w:val="005E60C0"/>
    <w:rsid w:val="005F0F21"/>
    <w:rsid w:val="005F1735"/>
    <w:rsid w:val="005F1FC8"/>
    <w:rsid w:val="005F5BEC"/>
    <w:rsid w:val="005F6713"/>
    <w:rsid w:val="005F7141"/>
    <w:rsid w:val="00611911"/>
    <w:rsid w:val="0062018B"/>
    <w:rsid w:val="006271FC"/>
    <w:rsid w:val="00630374"/>
    <w:rsid w:val="00640ACE"/>
    <w:rsid w:val="00662D25"/>
    <w:rsid w:val="00671771"/>
    <w:rsid w:val="006C7801"/>
    <w:rsid w:val="006E6F80"/>
    <w:rsid w:val="006F3C71"/>
    <w:rsid w:val="006F5FBA"/>
    <w:rsid w:val="00717DA1"/>
    <w:rsid w:val="00726570"/>
    <w:rsid w:val="00726F49"/>
    <w:rsid w:val="007325DE"/>
    <w:rsid w:val="0073285C"/>
    <w:rsid w:val="00733931"/>
    <w:rsid w:val="007607E7"/>
    <w:rsid w:val="00797354"/>
    <w:rsid w:val="007A062C"/>
    <w:rsid w:val="007A522E"/>
    <w:rsid w:val="007B0F09"/>
    <w:rsid w:val="007B2319"/>
    <w:rsid w:val="007D2621"/>
    <w:rsid w:val="007D5DC2"/>
    <w:rsid w:val="007D6C39"/>
    <w:rsid w:val="008111E1"/>
    <w:rsid w:val="00820F76"/>
    <w:rsid w:val="0084750C"/>
    <w:rsid w:val="00852113"/>
    <w:rsid w:val="0086321C"/>
    <w:rsid w:val="0086365D"/>
    <w:rsid w:val="00865B30"/>
    <w:rsid w:val="00866BD7"/>
    <w:rsid w:val="00874219"/>
    <w:rsid w:val="008902DC"/>
    <w:rsid w:val="00895339"/>
    <w:rsid w:val="00896621"/>
    <w:rsid w:val="00897C04"/>
    <w:rsid w:val="008C4323"/>
    <w:rsid w:val="008C6ED2"/>
    <w:rsid w:val="008D55E7"/>
    <w:rsid w:val="0090207A"/>
    <w:rsid w:val="00913FBF"/>
    <w:rsid w:val="00916532"/>
    <w:rsid w:val="00923C7E"/>
    <w:rsid w:val="00936704"/>
    <w:rsid w:val="009423C9"/>
    <w:rsid w:val="009606BC"/>
    <w:rsid w:val="00967E57"/>
    <w:rsid w:val="00994E59"/>
    <w:rsid w:val="009A6542"/>
    <w:rsid w:val="009D66D2"/>
    <w:rsid w:val="009E7645"/>
    <w:rsid w:val="00A10F7F"/>
    <w:rsid w:val="00A124F9"/>
    <w:rsid w:val="00A1433A"/>
    <w:rsid w:val="00A148CE"/>
    <w:rsid w:val="00A24465"/>
    <w:rsid w:val="00A24F96"/>
    <w:rsid w:val="00A25695"/>
    <w:rsid w:val="00A278BD"/>
    <w:rsid w:val="00A31E73"/>
    <w:rsid w:val="00A40610"/>
    <w:rsid w:val="00A4220E"/>
    <w:rsid w:val="00A44A63"/>
    <w:rsid w:val="00A60183"/>
    <w:rsid w:val="00A645CD"/>
    <w:rsid w:val="00A64A5B"/>
    <w:rsid w:val="00A72420"/>
    <w:rsid w:val="00A75297"/>
    <w:rsid w:val="00A81C33"/>
    <w:rsid w:val="00AA1C3E"/>
    <w:rsid w:val="00AA497E"/>
    <w:rsid w:val="00AA49A9"/>
    <w:rsid w:val="00AB73B6"/>
    <w:rsid w:val="00AC6A89"/>
    <w:rsid w:val="00AD29A3"/>
    <w:rsid w:val="00AF3C2A"/>
    <w:rsid w:val="00B067EB"/>
    <w:rsid w:val="00B14C37"/>
    <w:rsid w:val="00B361DF"/>
    <w:rsid w:val="00B47672"/>
    <w:rsid w:val="00B54440"/>
    <w:rsid w:val="00B554E7"/>
    <w:rsid w:val="00B71E24"/>
    <w:rsid w:val="00B73ABB"/>
    <w:rsid w:val="00B95D8A"/>
    <w:rsid w:val="00BA2BBD"/>
    <w:rsid w:val="00BB6506"/>
    <w:rsid w:val="00BB6643"/>
    <w:rsid w:val="00BC17FA"/>
    <w:rsid w:val="00BC36B2"/>
    <w:rsid w:val="00BD49FB"/>
    <w:rsid w:val="00BD4ED9"/>
    <w:rsid w:val="00BD7232"/>
    <w:rsid w:val="00BE1921"/>
    <w:rsid w:val="00BE4D9D"/>
    <w:rsid w:val="00BF24F5"/>
    <w:rsid w:val="00BF25F6"/>
    <w:rsid w:val="00BF35E8"/>
    <w:rsid w:val="00C035B5"/>
    <w:rsid w:val="00C04582"/>
    <w:rsid w:val="00C21AB6"/>
    <w:rsid w:val="00C3262F"/>
    <w:rsid w:val="00C3329D"/>
    <w:rsid w:val="00C343CC"/>
    <w:rsid w:val="00C37980"/>
    <w:rsid w:val="00C44EF4"/>
    <w:rsid w:val="00C53622"/>
    <w:rsid w:val="00C66E1E"/>
    <w:rsid w:val="00C676BA"/>
    <w:rsid w:val="00C77B67"/>
    <w:rsid w:val="00C81AB4"/>
    <w:rsid w:val="00C82CDF"/>
    <w:rsid w:val="00C84E5F"/>
    <w:rsid w:val="00C85795"/>
    <w:rsid w:val="00C857BF"/>
    <w:rsid w:val="00C86B2B"/>
    <w:rsid w:val="00C878DE"/>
    <w:rsid w:val="00CA2053"/>
    <w:rsid w:val="00CA60EC"/>
    <w:rsid w:val="00CC59AE"/>
    <w:rsid w:val="00CC5E1C"/>
    <w:rsid w:val="00D2102C"/>
    <w:rsid w:val="00D25ED4"/>
    <w:rsid w:val="00D300F1"/>
    <w:rsid w:val="00D36D52"/>
    <w:rsid w:val="00D56DEA"/>
    <w:rsid w:val="00D72DAC"/>
    <w:rsid w:val="00D74109"/>
    <w:rsid w:val="00D753F4"/>
    <w:rsid w:val="00D75ABD"/>
    <w:rsid w:val="00D9481E"/>
    <w:rsid w:val="00D97AD9"/>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5973"/>
    <w:rsid w:val="00EA3C8A"/>
    <w:rsid w:val="00EA5C79"/>
    <w:rsid w:val="00EB382A"/>
    <w:rsid w:val="00EB57F5"/>
    <w:rsid w:val="00EC01CF"/>
    <w:rsid w:val="00EC2F9D"/>
    <w:rsid w:val="00EC458F"/>
    <w:rsid w:val="00ED2437"/>
    <w:rsid w:val="00ED70B8"/>
    <w:rsid w:val="00EE3803"/>
    <w:rsid w:val="00EF53F1"/>
    <w:rsid w:val="00F01226"/>
    <w:rsid w:val="00F0149B"/>
    <w:rsid w:val="00F33D8E"/>
    <w:rsid w:val="00F37846"/>
    <w:rsid w:val="00F412F9"/>
    <w:rsid w:val="00F4295D"/>
    <w:rsid w:val="00F80E38"/>
    <w:rsid w:val="00F8646A"/>
    <w:rsid w:val="00F876DE"/>
    <w:rsid w:val="00F95956"/>
    <w:rsid w:val="00F95A9E"/>
    <w:rsid w:val="00FC3A3C"/>
    <w:rsid w:val="00FF0CC9"/>
    <w:rsid w:val="00FF1750"/>
    <w:rsid w:val="00FF721E"/>
    <w:rsid w:val="12BF532E"/>
    <w:rsid w:val="174F5A48"/>
    <w:rsid w:val="17C01FB7"/>
    <w:rsid w:val="226024DF"/>
    <w:rsid w:val="2BA352F2"/>
    <w:rsid w:val="2C3E452C"/>
    <w:rsid w:val="3F107CA1"/>
    <w:rsid w:val="4367294C"/>
    <w:rsid w:val="45915743"/>
    <w:rsid w:val="491C6D9E"/>
    <w:rsid w:val="4D0C76E6"/>
    <w:rsid w:val="4DC707B1"/>
    <w:rsid w:val="5D5D3B0A"/>
    <w:rsid w:val="5DC06253"/>
    <w:rsid w:val="63EE7680"/>
    <w:rsid w:val="64F5357A"/>
    <w:rsid w:val="67C664FE"/>
    <w:rsid w:val="6D3E02DA"/>
    <w:rsid w:val="6D4D3E8A"/>
    <w:rsid w:val="70B24C43"/>
    <w:rsid w:val="71637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3"/>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4"/>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5"/>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6"/>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7"/>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8"/>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9"/>
    <w:semiHidden/>
    <w:unhideWhenUsed/>
    <w:qFormat/>
    <w:uiPriority w:val="9"/>
    <w:pPr>
      <w:keepNext/>
      <w:keepLines/>
      <w:spacing w:before="120" w:after="0"/>
      <w:outlineLvl w:val="6"/>
    </w:pPr>
    <w:rPr>
      <w:i/>
      <w:iCs/>
    </w:rPr>
  </w:style>
  <w:style w:type="paragraph" w:styleId="9">
    <w:name w:val="heading 8"/>
    <w:basedOn w:val="1"/>
    <w:next w:val="1"/>
    <w:link w:val="40"/>
    <w:semiHidden/>
    <w:unhideWhenUsed/>
    <w:qFormat/>
    <w:uiPriority w:val="9"/>
    <w:pPr>
      <w:keepNext/>
      <w:keepLines/>
      <w:spacing w:before="120" w:after="0"/>
      <w:outlineLvl w:val="7"/>
    </w:pPr>
    <w:rPr>
      <w:b/>
      <w:bCs/>
    </w:rPr>
  </w:style>
  <w:style w:type="paragraph" w:styleId="10">
    <w:name w:val="heading 9"/>
    <w:basedOn w:val="1"/>
    <w:next w:val="1"/>
    <w:link w:val="41"/>
    <w:semiHidden/>
    <w:unhideWhenUsed/>
    <w:qFormat/>
    <w:uiPriority w:val="9"/>
    <w:pPr>
      <w:keepNext/>
      <w:keepLines/>
      <w:spacing w:before="120" w:after="0"/>
      <w:outlineLvl w:val="8"/>
    </w:pPr>
    <w:rPr>
      <w:i/>
      <w:iCs/>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annotation text"/>
    <w:basedOn w:val="1"/>
    <w:semiHidden/>
    <w:unhideWhenUsed/>
    <w:uiPriority w:val="99"/>
    <w:pPr>
      <w:jc w:val="left"/>
    </w:pPr>
  </w:style>
  <w:style w:type="paragraph" w:styleId="14">
    <w:name w:val="Body Text"/>
    <w:basedOn w:val="1"/>
    <w:link w:val="42"/>
    <w:semiHidden/>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43"/>
    <w:unhideWhenUsed/>
    <w:qFormat/>
    <w:uiPriority w:val="0"/>
    <w:rPr>
      <w:rFonts w:hAnsi="Courier New" w:cs="Courier New" w:asciiTheme="minorEastAsia"/>
    </w:rPr>
  </w:style>
  <w:style w:type="paragraph" w:styleId="17">
    <w:name w:val="Date"/>
    <w:basedOn w:val="1"/>
    <w:next w:val="1"/>
    <w:qFormat/>
    <w:uiPriority w:val="0"/>
    <w:pPr>
      <w:adjustRightInd w:val="0"/>
      <w:spacing w:line="360" w:lineRule="atLeast"/>
      <w:textAlignment w:val="baseline"/>
    </w:pPr>
    <w:rPr>
      <w:sz w:val="24"/>
      <w:szCs w:val="20"/>
    </w:rPr>
  </w:style>
  <w:style w:type="paragraph" w:styleId="18">
    <w:name w:val="Balloon Text"/>
    <w:basedOn w:val="1"/>
    <w:link w:val="65"/>
    <w:semiHidden/>
    <w:unhideWhenUsed/>
    <w:qFormat/>
    <w:uiPriority w:val="99"/>
    <w:pPr>
      <w:spacing w:after="0" w:line="240" w:lineRule="auto"/>
    </w:pPr>
    <w:rPr>
      <w:sz w:val="18"/>
      <w:szCs w:val="18"/>
    </w:rPr>
  </w:style>
  <w:style w:type="paragraph" w:styleId="19">
    <w:name w:val="footer"/>
    <w:basedOn w:val="1"/>
    <w:link w:val="44"/>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6"/>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47"/>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8"/>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7">
    <w:name w:val="Table Grid"/>
    <w:basedOn w:val="2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styleId="32">
    <w:name w:val="annotation reference"/>
    <w:basedOn w:val="28"/>
    <w:semiHidden/>
    <w:unhideWhenUsed/>
    <w:qFormat/>
    <w:uiPriority w:val="99"/>
    <w:rPr>
      <w:sz w:val="21"/>
      <w:szCs w:val="21"/>
    </w:rPr>
  </w:style>
  <w:style w:type="character" w:customStyle="1" w:styleId="33">
    <w:name w:val="标题 1 字符"/>
    <w:basedOn w:val="28"/>
    <w:link w:val="2"/>
    <w:qFormat/>
    <w:uiPriority w:val="9"/>
    <w:rPr>
      <w:rFonts w:asciiTheme="majorHAnsi" w:hAnsiTheme="majorHAnsi" w:eastAsiaTheme="majorEastAsia" w:cstheme="majorBidi"/>
      <w:b/>
      <w:bCs/>
      <w:caps/>
      <w:spacing w:val="4"/>
      <w:sz w:val="28"/>
      <w:szCs w:val="28"/>
    </w:rPr>
  </w:style>
  <w:style w:type="character" w:customStyle="1" w:styleId="34">
    <w:name w:val="标题 2 字符"/>
    <w:basedOn w:val="28"/>
    <w:link w:val="3"/>
    <w:qFormat/>
    <w:uiPriority w:val="9"/>
    <w:rPr>
      <w:rFonts w:asciiTheme="majorHAnsi" w:hAnsiTheme="majorHAnsi" w:eastAsiaTheme="majorEastAsia" w:cstheme="majorBidi"/>
      <w:b/>
      <w:bCs/>
      <w:sz w:val="28"/>
      <w:szCs w:val="28"/>
    </w:rPr>
  </w:style>
  <w:style w:type="character" w:customStyle="1" w:styleId="35">
    <w:name w:val="标题 3 字符"/>
    <w:basedOn w:val="28"/>
    <w:link w:val="4"/>
    <w:qFormat/>
    <w:uiPriority w:val="9"/>
    <w:rPr>
      <w:rFonts w:asciiTheme="majorHAnsi" w:hAnsiTheme="majorHAnsi" w:eastAsiaTheme="majorEastAsia" w:cstheme="majorBidi"/>
      <w:spacing w:val="4"/>
      <w:sz w:val="24"/>
      <w:szCs w:val="24"/>
    </w:rPr>
  </w:style>
  <w:style w:type="character" w:customStyle="1" w:styleId="36">
    <w:name w:val="标题 4 字符"/>
    <w:basedOn w:val="28"/>
    <w:link w:val="5"/>
    <w:semiHidden/>
    <w:qFormat/>
    <w:uiPriority w:val="9"/>
    <w:rPr>
      <w:rFonts w:asciiTheme="majorHAnsi" w:hAnsiTheme="majorHAnsi" w:eastAsiaTheme="majorEastAsia" w:cstheme="majorBidi"/>
      <w:i/>
      <w:iCs/>
      <w:sz w:val="24"/>
      <w:szCs w:val="24"/>
    </w:rPr>
  </w:style>
  <w:style w:type="character" w:customStyle="1" w:styleId="37">
    <w:name w:val="标题 5 字符"/>
    <w:basedOn w:val="28"/>
    <w:link w:val="6"/>
    <w:semiHidden/>
    <w:qFormat/>
    <w:uiPriority w:val="9"/>
    <w:rPr>
      <w:rFonts w:asciiTheme="majorHAnsi" w:hAnsiTheme="majorHAnsi" w:eastAsiaTheme="majorEastAsia" w:cstheme="majorBidi"/>
      <w:b/>
      <w:bCs/>
    </w:rPr>
  </w:style>
  <w:style w:type="character" w:customStyle="1" w:styleId="38">
    <w:name w:val="标题 6 字符"/>
    <w:basedOn w:val="28"/>
    <w:link w:val="7"/>
    <w:semiHidden/>
    <w:qFormat/>
    <w:uiPriority w:val="9"/>
    <w:rPr>
      <w:rFonts w:asciiTheme="majorHAnsi" w:hAnsiTheme="majorHAnsi" w:eastAsiaTheme="majorEastAsia" w:cstheme="majorBidi"/>
      <w:b/>
      <w:bCs/>
      <w:i/>
      <w:iCs/>
    </w:rPr>
  </w:style>
  <w:style w:type="character" w:customStyle="1" w:styleId="39">
    <w:name w:val="标题 7 字符"/>
    <w:basedOn w:val="28"/>
    <w:link w:val="8"/>
    <w:semiHidden/>
    <w:qFormat/>
    <w:uiPriority w:val="9"/>
    <w:rPr>
      <w:i/>
      <w:iCs/>
    </w:rPr>
  </w:style>
  <w:style w:type="character" w:customStyle="1" w:styleId="40">
    <w:name w:val="标题 8 字符"/>
    <w:basedOn w:val="28"/>
    <w:link w:val="9"/>
    <w:semiHidden/>
    <w:qFormat/>
    <w:uiPriority w:val="9"/>
    <w:rPr>
      <w:b/>
      <w:bCs/>
    </w:rPr>
  </w:style>
  <w:style w:type="character" w:customStyle="1" w:styleId="41">
    <w:name w:val="标题 9 字符"/>
    <w:basedOn w:val="28"/>
    <w:link w:val="10"/>
    <w:semiHidden/>
    <w:qFormat/>
    <w:uiPriority w:val="9"/>
    <w:rPr>
      <w:i/>
      <w:iCs/>
    </w:rPr>
  </w:style>
  <w:style w:type="character" w:customStyle="1" w:styleId="42">
    <w:name w:val="正文文本 字符"/>
    <w:basedOn w:val="28"/>
    <w:link w:val="14"/>
    <w:semiHidden/>
    <w:qFormat/>
    <w:uiPriority w:val="99"/>
  </w:style>
  <w:style w:type="character" w:customStyle="1" w:styleId="43">
    <w:name w:val="纯文本 字符"/>
    <w:basedOn w:val="28"/>
    <w:link w:val="16"/>
    <w:qFormat/>
    <w:uiPriority w:val="0"/>
    <w:rPr>
      <w:rFonts w:hAnsi="Courier New" w:cs="Courier New" w:asciiTheme="minorEastAsia"/>
    </w:rPr>
  </w:style>
  <w:style w:type="character" w:customStyle="1" w:styleId="44">
    <w:name w:val="页脚 字符"/>
    <w:basedOn w:val="28"/>
    <w:link w:val="19"/>
    <w:qFormat/>
    <w:uiPriority w:val="99"/>
    <w:rPr>
      <w:sz w:val="18"/>
      <w:szCs w:val="18"/>
    </w:rPr>
  </w:style>
  <w:style w:type="character" w:customStyle="1" w:styleId="45">
    <w:name w:val="页眉 字符"/>
    <w:basedOn w:val="28"/>
    <w:link w:val="20"/>
    <w:qFormat/>
    <w:uiPriority w:val="99"/>
    <w:rPr>
      <w:sz w:val="18"/>
      <w:szCs w:val="18"/>
    </w:rPr>
  </w:style>
  <w:style w:type="character" w:customStyle="1" w:styleId="46">
    <w:name w:val="副标题 字符"/>
    <w:basedOn w:val="28"/>
    <w:link w:val="22"/>
    <w:qFormat/>
    <w:uiPriority w:val="11"/>
    <w:rPr>
      <w:rFonts w:asciiTheme="majorHAnsi" w:hAnsiTheme="majorHAnsi" w:eastAsiaTheme="majorEastAsia" w:cstheme="majorBidi"/>
      <w:sz w:val="24"/>
      <w:szCs w:val="24"/>
    </w:rPr>
  </w:style>
  <w:style w:type="character" w:customStyle="1" w:styleId="47">
    <w:name w:val="正文文本缩进 3 字符"/>
    <w:basedOn w:val="28"/>
    <w:link w:val="23"/>
    <w:qFormat/>
    <w:uiPriority w:val="0"/>
    <w:rPr>
      <w:rFonts w:ascii="Times New Roman" w:hAnsi="Times New Roman" w:eastAsia="宋体" w:cs="Times New Roman"/>
      <w:kern w:val="2"/>
      <w:sz w:val="16"/>
      <w:szCs w:val="16"/>
    </w:rPr>
  </w:style>
  <w:style w:type="character" w:customStyle="1" w:styleId="48">
    <w:name w:val="标题 字符"/>
    <w:basedOn w:val="28"/>
    <w:link w:val="25"/>
    <w:qFormat/>
    <w:uiPriority w:val="10"/>
    <w:rPr>
      <w:rFonts w:asciiTheme="majorHAnsi" w:hAnsiTheme="majorHAnsi" w:eastAsiaTheme="majorEastAsia" w:cstheme="majorBidi"/>
      <w:b/>
      <w:bCs/>
      <w:spacing w:val="-7"/>
      <w:sz w:val="48"/>
      <w:szCs w:val="48"/>
    </w:rPr>
  </w:style>
  <w:style w:type="paragraph" w:styleId="49">
    <w:name w:val="No Spacing"/>
    <w:link w:val="50"/>
    <w:qFormat/>
    <w:uiPriority w:val="1"/>
    <w:pPr>
      <w:jc w:val="both"/>
    </w:pPr>
    <w:rPr>
      <w:rFonts w:asciiTheme="minorHAnsi" w:hAnsiTheme="minorHAnsi" w:eastAsiaTheme="minorEastAsia" w:cstheme="minorBidi"/>
      <w:sz w:val="22"/>
      <w:szCs w:val="22"/>
      <w:lang w:val="en-US" w:eastAsia="zh-CN" w:bidi="ar-SA"/>
    </w:rPr>
  </w:style>
  <w:style w:type="character" w:customStyle="1" w:styleId="50">
    <w:name w:val="无间隔 字符"/>
    <w:basedOn w:val="28"/>
    <w:link w:val="49"/>
    <w:qFormat/>
    <w:uiPriority w:val="1"/>
  </w:style>
  <w:style w:type="paragraph" w:styleId="51">
    <w:name w:val="Quote"/>
    <w:basedOn w:val="1"/>
    <w:next w:val="1"/>
    <w:link w:val="52"/>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2">
    <w:name w:val="引用 字符"/>
    <w:basedOn w:val="28"/>
    <w:link w:val="51"/>
    <w:qFormat/>
    <w:uiPriority w:val="29"/>
    <w:rPr>
      <w:rFonts w:asciiTheme="majorHAnsi" w:hAnsiTheme="majorHAnsi" w:eastAsiaTheme="majorEastAsia" w:cstheme="majorBidi"/>
      <w:i/>
      <w:iCs/>
      <w:sz w:val="24"/>
      <w:szCs w:val="24"/>
    </w:rPr>
  </w:style>
  <w:style w:type="paragraph" w:styleId="53">
    <w:name w:val="Intense Quote"/>
    <w:basedOn w:val="1"/>
    <w:next w:val="1"/>
    <w:link w:val="54"/>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4">
    <w:name w:val="明显引用 字符"/>
    <w:basedOn w:val="28"/>
    <w:link w:val="53"/>
    <w:qFormat/>
    <w:uiPriority w:val="30"/>
    <w:rPr>
      <w:rFonts w:asciiTheme="majorHAnsi" w:hAnsiTheme="majorHAnsi" w:eastAsiaTheme="majorEastAsia" w:cstheme="majorBidi"/>
      <w:sz w:val="26"/>
      <w:szCs w:val="26"/>
    </w:rPr>
  </w:style>
  <w:style w:type="character" w:customStyle="1" w:styleId="55">
    <w:name w:val="不明显强调1"/>
    <w:basedOn w:val="28"/>
    <w:qFormat/>
    <w:uiPriority w:val="19"/>
    <w:rPr>
      <w:i/>
      <w:iCs/>
      <w:color w:val="auto"/>
    </w:rPr>
  </w:style>
  <w:style w:type="character" w:customStyle="1" w:styleId="56">
    <w:name w:val="明显强调1"/>
    <w:basedOn w:val="28"/>
    <w:qFormat/>
    <w:uiPriority w:val="21"/>
    <w:rPr>
      <w:b/>
      <w:bCs/>
      <w:i/>
      <w:iCs/>
      <w:color w:val="auto"/>
    </w:rPr>
  </w:style>
  <w:style w:type="character" w:customStyle="1" w:styleId="57">
    <w:name w:val="不明显参考1"/>
    <w:basedOn w:val="28"/>
    <w:qFormat/>
    <w:uiPriority w:val="31"/>
    <w:rPr>
      <w:smallCaps/>
      <w:color w:val="auto"/>
      <w:u w:val="single" w:color="7E7E7E" w:themeColor="text1" w:themeTint="80"/>
    </w:rPr>
  </w:style>
  <w:style w:type="character" w:customStyle="1" w:styleId="58">
    <w:name w:val="明显参考1"/>
    <w:basedOn w:val="28"/>
    <w:qFormat/>
    <w:uiPriority w:val="32"/>
    <w:rPr>
      <w:b/>
      <w:bCs/>
      <w:smallCaps/>
      <w:color w:val="auto"/>
      <w:u w:val="single"/>
    </w:rPr>
  </w:style>
  <w:style w:type="character" w:customStyle="1" w:styleId="59">
    <w:name w:val="书籍标题1"/>
    <w:basedOn w:val="28"/>
    <w:qFormat/>
    <w:uiPriority w:val="33"/>
    <w:rPr>
      <w:b/>
      <w:bCs/>
      <w:smallCaps/>
      <w:color w:val="auto"/>
    </w:rPr>
  </w:style>
  <w:style w:type="paragraph" w:customStyle="1" w:styleId="60">
    <w:name w:val="TOC 标题1"/>
    <w:basedOn w:val="2"/>
    <w:next w:val="1"/>
    <w:unhideWhenUsed/>
    <w:qFormat/>
    <w:uiPriority w:val="39"/>
    <w:pPr>
      <w:outlineLvl w:val="9"/>
    </w:pPr>
  </w:style>
  <w:style w:type="paragraph" w:customStyle="1" w:styleId="6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2">
    <w:name w:val="List Paragraph"/>
    <w:basedOn w:val="1"/>
    <w:qFormat/>
    <w:uiPriority w:val="34"/>
    <w:pPr>
      <w:ind w:firstLine="420" w:firstLineChars="200"/>
    </w:pPr>
  </w:style>
  <w:style w:type="paragraph" w:customStyle="1" w:styleId="63">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4">
    <w:name w:val="纯文本 Char"/>
    <w:qFormat/>
    <w:uiPriority w:val="0"/>
    <w:rPr>
      <w:rFonts w:ascii="宋体" w:hAnsi="Courier New" w:eastAsia="宋体"/>
      <w:kern w:val="2"/>
      <w:sz w:val="21"/>
      <w:lang w:val="en-US" w:eastAsia="zh-CN" w:bidi="ar-SA"/>
    </w:rPr>
  </w:style>
  <w:style w:type="character" w:customStyle="1" w:styleId="65">
    <w:name w:val="批注框文本 字符"/>
    <w:basedOn w:val="28"/>
    <w:link w:val="18"/>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B55FAF-721F-4458-8F29-F9D00CA13F7F}">
  <ds:schemaRefs/>
</ds:datastoreItem>
</file>

<file path=docProps/app.xml><?xml version="1.0" encoding="utf-8"?>
<Properties xmlns="http://schemas.openxmlformats.org/officeDocument/2006/extended-properties" xmlns:vt="http://schemas.openxmlformats.org/officeDocument/2006/docPropsVTypes">
  <Template>Normal</Template>
  <Pages>15</Pages>
  <Words>749</Words>
  <Characters>4271</Characters>
  <Lines>35</Lines>
  <Paragraphs>10</Paragraphs>
  <TotalTime>26</TotalTime>
  <ScaleCrop>false</ScaleCrop>
  <LinksUpToDate>false</LinksUpToDate>
  <CharactersWithSpaces>5010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2021-07-12T10:38:00Z</dcterms:created>
  <dc:creator>树亮 门</dc:creator>
  <cp:lastModifiedBy>刘轩辰</cp:lastModifiedBy>
  <cp:lastPrinted>2020-07-28T09:28:00Z</cp:lastPrinted>
  <dcterms:modified xsi:type="dcterms:W3CDTF">2021-07-26T09:10:55Z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966FA253D8FB4778BA4E2F59F3879D82</vt:lpwstr>
  </property>
</Properties>
</file>