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 w:hAnsi="仿宋" w:eastAsia="仿宋"/>
          <w:b/>
          <w:sz w:val="44"/>
          <w:szCs w:val="44"/>
          <w:lang w:eastAsia="zh-CN"/>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关于艺术学院专升本教室</w:t>
      </w:r>
      <w:r>
        <w:rPr>
          <w:rFonts w:hint="eastAsia" w:ascii="仿宋" w:hAnsi="仿宋" w:eastAsia="仿宋"/>
          <w:b/>
          <w:sz w:val="44"/>
          <w:szCs w:val="44"/>
          <w:lang w:val="en-US" w:eastAsia="zh-CN"/>
        </w:rPr>
        <w:t>设备采购</w:t>
      </w:r>
      <w:r>
        <w:rPr>
          <w:rFonts w:hint="eastAsia" w:ascii="仿宋" w:hAnsi="仿宋" w:eastAsia="仿宋"/>
          <w:b/>
          <w:sz w:val="44"/>
          <w:szCs w:val="44"/>
        </w:rPr>
        <w:t>项目</w:t>
      </w:r>
      <w:r>
        <w:rPr>
          <w:rFonts w:hint="eastAsia" w:ascii="仿宋" w:hAnsi="仿宋" w:eastAsia="仿宋"/>
          <w:b/>
          <w:sz w:val="44"/>
          <w:szCs w:val="44"/>
          <w:lang w:eastAsia="zh-CN"/>
        </w:rPr>
        <w:t>（</w:t>
      </w:r>
      <w:r>
        <w:rPr>
          <w:rFonts w:hint="eastAsia" w:ascii="仿宋" w:hAnsi="仿宋" w:eastAsia="仿宋"/>
          <w:b/>
          <w:sz w:val="44"/>
          <w:szCs w:val="44"/>
          <w:lang w:val="en-US" w:eastAsia="zh-CN"/>
        </w:rPr>
        <w:t>二次</w:t>
      </w:r>
      <w:r>
        <w:rPr>
          <w:rFonts w:hint="eastAsia" w:ascii="仿宋" w:hAnsi="仿宋" w:eastAsia="仿宋"/>
          <w:b/>
          <w:sz w:val="44"/>
          <w:szCs w:val="44"/>
          <w:lang w:eastAsia="zh-CN"/>
        </w:rPr>
        <w:t>）</w:t>
      </w:r>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keepNext w:val="0"/>
        <w:keepLines w:val="0"/>
        <w:pageBreakBefore w:val="0"/>
        <w:widowControl/>
        <w:kinsoku/>
        <w:wordWrap/>
        <w:overflowPunct/>
        <w:topLinePunct w:val="0"/>
        <w:autoSpaceDE/>
        <w:autoSpaceDN/>
        <w:bidi w:val="0"/>
        <w:adjustRightInd/>
        <w:snapToGrid/>
        <w:spacing w:after="0" w:line="500" w:lineRule="exact"/>
        <w:ind w:left="2200" w:leftChars="1000" w:firstLine="0" w:firstLineChars="0"/>
        <w:textAlignment w:val="auto"/>
        <w:rPr>
          <w:rFonts w:hint="eastAsia" w:ascii="仿宋" w:hAnsi="仿宋" w:eastAsia="仿宋"/>
          <w:b/>
          <w:sz w:val="36"/>
          <w:szCs w:val="36"/>
        </w:rPr>
      </w:pPr>
    </w:p>
    <w:p>
      <w:pPr>
        <w:keepNext w:val="0"/>
        <w:keepLines w:val="0"/>
        <w:pageBreakBefore w:val="0"/>
        <w:widowControl/>
        <w:kinsoku/>
        <w:wordWrap/>
        <w:overflowPunct/>
        <w:topLinePunct w:val="0"/>
        <w:autoSpaceDE/>
        <w:autoSpaceDN/>
        <w:bidi w:val="0"/>
        <w:adjustRightInd/>
        <w:snapToGrid/>
        <w:spacing w:after="157" w:afterLines="50" w:line="500" w:lineRule="exact"/>
        <w:ind w:left="5068" w:leftChars="1400" w:hanging="1988" w:hangingChars="550"/>
        <w:textAlignment w:val="auto"/>
        <w:rPr>
          <w:rFonts w:ascii="仿宋" w:hAnsi="仿宋" w:eastAsia="仿宋"/>
          <w:b/>
          <w:sz w:val="36"/>
          <w:szCs w:val="36"/>
        </w:rPr>
      </w:pPr>
      <w:r>
        <w:rPr>
          <w:rFonts w:hint="eastAsia" w:ascii="仿宋" w:hAnsi="仿宋" w:eastAsia="仿宋"/>
          <w:b/>
          <w:sz w:val="36"/>
          <w:szCs w:val="36"/>
        </w:rPr>
        <w:t>项目编号：</w:t>
      </w:r>
      <w:bookmarkStart w:id="1" w:name="_Toc160880485"/>
      <w:bookmarkStart w:id="2" w:name="_Toc160880118"/>
      <w:bookmarkStart w:id="3" w:name="_Toc169332792"/>
      <w:r>
        <w:rPr>
          <w:rFonts w:hint="eastAsia" w:ascii="仿宋" w:hAnsi="仿宋" w:eastAsia="仿宋"/>
          <w:b/>
          <w:sz w:val="36"/>
          <w:szCs w:val="36"/>
        </w:rPr>
        <w:t>ZWC-2021038</w:t>
      </w:r>
    </w:p>
    <w:p>
      <w:pPr>
        <w:keepNext w:val="0"/>
        <w:keepLines w:val="0"/>
        <w:pageBreakBefore w:val="0"/>
        <w:widowControl/>
        <w:kinsoku/>
        <w:wordWrap/>
        <w:overflowPunct/>
        <w:topLinePunct w:val="0"/>
        <w:autoSpaceDE/>
        <w:autoSpaceDN/>
        <w:bidi w:val="0"/>
        <w:adjustRightInd/>
        <w:snapToGrid/>
        <w:spacing w:after="157" w:afterLines="50" w:line="500" w:lineRule="exact"/>
        <w:ind w:left="4977" w:leftChars="1400" w:hanging="1897" w:hangingChars="525"/>
        <w:textAlignment w:val="auto"/>
        <w:rPr>
          <w:rFonts w:hint="eastAsia" w:ascii="仿宋" w:hAnsi="仿宋" w:eastAsia="仿宋"/>
          <w:b/>
          <w:sz w:val="36"/>
          <w:szCs w:val="36"/>
          <w:lang w:eastAsia="zh-CN"/>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w:t>
      </w:r>
      <w:bookmarkStart w:id="4" w:name="_Toc258401210"/>
      <w:bookmarkStart w:id="5" w:name="_Toc267060022"/>
      <w:bookmarkStart w:id="6" w:name="_Toc267059161"/>
      <w:bookmarkStart w:id="7" w:name="_Toc259520819"/>
      <w:bookmarkStart w:id="8" w:name="_Toc177985424"/>
      <w:bookmarkStart w:id="9" w:name="_Toc236021402"/>
      <w:bookmarkStart w:id="10" w:name="_Toc211937196"/>
      <w:bookmarkStart w:id="11" w:name="_Toc235437942"/>
      <w:bookmarkStart w:id="12" w:name="_Toc212526081"/>
      <w:bookmarkStart w:id="13" w:name="_Toc251586187"/>
      <w:bookmarkStart w:id="14" w:name="_Toc235438297"/>
      <w:bookmarkStart w:id="15" w:name="_Toc266868624"/>
      <w:bookmarkStart w:id="16" w:name="_Toc251613780"/>
      <w:bookmarkStart w:id="17" w:name="_Toc266870861"/>
      <w:bookmarkStart w:id="18" w:name="_Toc267059899"/>
      <w:bookmarkStart w:id="19" w:name="_Toc267059519"/>
      <w:bookmarkStart w:id="20" w:name="_Toc235438227"/>
      <w:bookmarkStart w:id="21" w:name="_Toc212530253"/>
      <w:bookmarkStart w:id="22" w:name="_Toc169332794"/>
      <w:bookmarkStart w:id="23" w:name="_Toc267060162"/>
      <w:bookmarkStart w:id="24" w:name="_Toc253066567"/>
      <w:bookmarkStart w:id="25" w:name="_Toc267060407"/>
      <w:bookmarkStart w:id="26" w:name="_Toc267059010"/>
      <w:bookmarkStart w:id="27" w:name="_Toc266870386"/>
      <w:bookmarkStart w:id="28" w:name="_Toc259692600"/>
      <w:bookmarkStart w:id="29" w:name="_Toc254790852"/>
      <w:bookmarkStart w:id="30" w:name="_Toc217891359"/>
      <w:bookmarkStart w:id="31" w:name="_Toc249325665"/>
      <w:bookmarkStart w:id="32" w:name="_Toc267059633"/>
      <w:bookmarkStart w:id="33" w:name="_Toc216241307"/>
      <w:bookmarkStart w:id="34" w:name="_Toc267059786"/>
      <w:bookmarkStart w:id="35" w:name="_Toc225669277"/>
      <w:bookmarkStart w:id="36" w:name="_Toc266868924"/>
      <w:bookmarkStart w:id="37" w:name="_Toc207014580"/>
      <w:bookmarkStart w:id="38" w:name="_Toc259692693"/>
      <w:bookmarkStart w:id="39" w:name="_Toc170798743"/>
      <w:bookmarkStart w:id="40" w:name="_Toc212456146"/>
      <w:bookmarkStart w:id="41" w:name="_Toc223146565"/>
      <w:bookmarkStart w:id="42" w:name="_Toc273178686"/>
      <w:bookmarkStart w:id="43" w:name="_Toc212454753"/>
      <w:bookmarkStart w:id="44" w:name="_Toc160880487"/>
      <w:bookmarkStart w:id="45" w:name="_Toc227058483"/>
      <w:bookmarkStart w:id="46" w:name="_Toc219800200"/>
      <w:bookmarkStart w:id="47" w:name="_Toc169332904"/>
      <w:bookmarkStart w:id="48" w:name="_Toc255974963"/>
      <w:r>
        <w:rPr>
          <w:rFonts w:hint="eastAsia" w:ascii="仿宋" w:hAnsi="仿宋" w:eastAsia="仿宋"/>
          <w:b/>
          <w:sz w:val="36"/>
          <w:szCs w:val="36"/>
        </w:rPr>
        <w:t>艺术学院专升本教室</w:t>
      </w:r>
      <w:r>
        <w:rPr>
          <w:rFonts w:hint="eastAsia" w:ascii="仿宋" w:hAnsi="仿宋" w:eastAsia="仿宋"/>
          <w:b/>
          <w:sz w:val="36"/>
          <w:szCs w:val="36"/>
          <w:lang w:val="en-US" w:eastAsia="zh-CN"/>
        </w:rPr>
        <w:t>设备采购</w:t>
      </w:r>
      <w:r>
        <w:rPr>
          <w:rFonts w:hint="eastAsia" w:ascii="仿宋" w:hAnsi="仿宋" w:eastAsia="仿宋"/>
          <w:b/>
          <w:sz w:val="36"/>
          <w:szCs w:val="36"/>
        </w:rPr>
        <w:t>项目</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b/>
          <w:sz w:val="36"/>
          <w:szCs w:val="36"/>
          <w:lang w:eastAsia="zh-CN"/>
        </w:rPr>
        <w:t>（</w:t>
      </w:r>
      <w:r>
        <w:rPr>
          <w:rFonts w:hint="eastAsia" w:ascii="仿宋" w:hAnsi="仿宋" w:eastAsia="仿宋"/>
          <w:b/>
          <w:sz w:val="36"/>
          <w:szCs w:val="36"/>
          <w:lang w:val="en-US" w:eastAsia="zh-CN"/>
        </w:rPr>
        <w:t>二次</w:t>
      </w:r>
      <w:r>
        <w:rPr>
          <w:rFonts w:hint="eastAsia" w:ascii="仿宋" w:hAnsi="仿宋" w:eastAsia="仿宋"/>
          <w:b/>
          <w:sz w:val="36"/>
          <w:szCs w:val="36"/>
          <w:lang w:eastAsia="zh-CN"/>
        </w:rPr>
        <w:t>）</w:t>
      </w:r>
    </w:p>
    <w:p>
      <w:pPr>
        <w:keepNext w:val="0"/>
        <w:keepLines w:val="0"/>
        <w:pageBreakBefore w:val="0"/>
        <w:widowControl/>
        <w:kinsoku/>
        <w:wordWrap/>
        <w:overflowPunct/>
        <w:topLinePunct w:val="0"/>
        <w:autoSpaceDE/>
        <w:autoSpaceDN/>
        <w:bidi w:val="0"/>
        <w:adjustRightInd/>
        <w:snapToGrid/>
        <w:spacing w:after="157" w:afterLines="50" w:line="500" w:lineRule="exact"/>
        <w:ind w:left="4188" w:leftChars="1000" w:hanging="1988" w:hangingChars="550"/>
        <w:textAlignment w:val="auto"/>
        <w:rPr>
          <w:rFonts w:hint="eastAsia"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spacing w:line="500" w:lineRule="exact"/>
        <w:ind w:firstLine="2849" w:firstLineChars="645"/>
        <w:rPr>
          <w:rFonts w:ascii="仿宋" w:hAnsi="仿宋" w:eastAsia="仿宋"/>
          <w:b/>
          <w:sz w:val="44"/>
          <w:szCs w:val="44"/>
        </w:rPr>
      </w:pPr>
      <w:bookmarkStart w:id="49" w:name="_Hlk67754059"/>
      <w:r>
        <w:rPr>
          <w:rFonts w:hint="eastAsia" w:ascii="仿宋" w:hAnsi="仿宋" w:eastAsia="仿宋"/>
          <w:b/>
          <w:sz w:val="44"/>
          <w:szCs w:val="44"/>
        </w:rPr>
        <w:t>一、</w:t>
      </w:r>
      <w:bookmarkStart w:id="330" w:name="_GoBack"/>
      <w:r>
        <w:rPr>
          <w:rFonts w:hint="eastAsia" w:ascii="仿宋" w:hAnsi="仿宋" w:eastAsia="仿宋"/>
          <w:b/>
          <w:sz w:val="44"/>
          <w:szCs w:val="44"/>
        </w:rPr>
        <w:t>询价邀请函</w:t>
      </w:r>
    </w:p>
    <w:bookmarkEnd w:id="49"/>
    <w:p>
      <w:pPr>
        <w:spacing w:after="0" w:line="500" w:lineRule="exact"/>
        <w:ind w:firstLine="560" w:firstLineChars="200"/>
        <w:rPr>
          <w:rFonts w:ascii="仿宋" w:hAnsi="仿宋" w:eastAsia="仿宋"/>
          <w:sz w:val="28"/>
          <w:szCs w:val="28"/>
        </w:rPr>
      </w:pPr>
      <w:bookmarkStart w:id="50"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sz w:val="28"/>
          <w:szCs w:val="28"/>
        </w:rPr>
        <w:t>.5</w:t>
      </w:r>
      <w:r>
        <w:rPr>
          <w:rFonts w:hint="eastAsia" w:ascii="仿宋" w:hAnsi="仿宋" w:eastAsia="仿宋"/>
          <w:sz w:val="28"/>
          <w:szCs w:val="28"/>
        </w:rPr>
        <w:t>万人。根据需要，对艺术学院专升本教室设备采购项目进行公开询价，欢迎国内合格参与人参与。</w:t>
      </w:r>
    </w:p>
    <w:p>
      <w:pPr>
        <w:spacing w:after="0" w:line="500" w:lineRule="exact"/>
        <w:jc w:val="left"/>
        <w:rPr>
          <w:rFonts w:ascii="仿宋" w:hAnsi="仿宋" w:eastAsia="仿宋"/>
          <w:sz w:val="28"/>
          <w:szCs w:val="28"/>
        </w:rPr>
      </w:pPr>
      <w:r>
        <w:rPr>
          <w:rFonts w:hint="eastAsia" w:ascii="仿宋" w:hAnsi="仿宋" w:eastAsia="仿宋"/>
          <w:sz w:val="28"/>
          <w:szCs w:val="28"/>
        </w:rPr>
        <w:t>一、项目说明</w:t>
      </w:r>
    </w:p>
    <w:p>
      <w:pPr>
        <w:widowControl w:val="0"/>
        <w:tabs>
          <w:tab w:val="left" w:pos="839"/>
          <w:tab w:val="left" w:pos="1469"/>
        </w:tabs>
        <w:spacing w:after="0" w:line="500" w:lineRule="exact"/>
        <w:rPr>
          <w:rFonts w:hint="default" w:ascii="仿宋" w:hAnsi="仿宋" w:eastAsia="仿宋"/>
          <w:sz w:val="28"/>
          <w:szCs w:val="28"/>
          <w:lang w:val="en-US" w:eastAsia="zh-CN"/>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w:t>
      </w:r>
      <w:r>
        <w:rPr>
          <w:rFonts w:hint="eastAsia" w:ascii="仿宋" w:hAnsi="仿宋" w:eastAsia="仿宋"/>
          <w:sz w:val="28"/>
          <w:szCs w:val="28"/>
          <w:lang w:val="en-US" w:eastAsia="zh-CN"/>
        </w:rPr>
        <w:t>ZWC-2021038</w:t>
      </w:r>
    </w:p>
    <w:p>
      <w:pPr>
        <w:widowControl w:val="0"/>
        <w:tabs>
          <w:tab w:val="left" w:pos="839"/>
          <w:tab w:val="left" w:pos="1469"/>
        </w:tabs>
        <w:spacing w:after="0" w:line="500" w:lineRule="exact"/>
        <w:rPr>
          <w:rFonts w:hint="eastAsia" w:ascii="仿宋" w:hAnsi="仿宋" w:eastAsia="仿宋"/>
          <w:sz w:val="28"/>
          <w:szCs w:val="28"/>
          <w:lang w:eastAsia="zh-CN"/>
        </w:rPr>
      </w:pPr>
      <w:r>
        <w:rPr>
          <w:rFonts w:ascii="仿宋" w:hAnsi="仿宋" w:eastAsia="仿宋"/>
          <w:sz w:val="28"/>
          <w:szCs w:val="28"/>
        </w:rPr>
        <w:t>2.</w:t>
      </w:r>
      <w:r>
        <w:rPr>
          <w:rFonts w:hint="eastAsia" w:ascii="仿宋" w:hAnsi="仿宋" w:eastAsia="仿宋"/>
          <w:sz w:val="28"/>
          <w:szCs w:val="28"/>
        </w:rPr>
        <w:t>项目名称：艺术学院专升本教室</w:t>
      </w:r>
      <w:r>
        <w:rPr>
          <w:rFonts w:hint="eastAsia" w:ascii="仿宋" w:hAnsi="仿宋" w:eastAsia="仿宋"/>
          <w:sz w:val="28"/>
          <w:szCs w:val="28"/>
          <w:lang w:val="en-US" w:eastAsia="zh-CN"/>
        </w:rPr>
        <w:t>设备采购</w:t>
      </w:r>
      <w:r>
        <w:rPr>
          <w:rFonts w:hint="eastAsia" w:ascii="仿宋" w:hAnsi="仿宋" w:eastAsia="仿宋"/>
          <w:sz w:val="28"/>
          <w:szCs w:val="28"/>
        </w:rPr>
        <w:t>项目</w:t>
      </w:r>
      <w:r>
        <w:rPr>
          <w:rFonts w:hint="eastAsia" w:ascii="仿宋" w:hAnsi="仿宋" w:eastAsia="仿宋"/>
          <w:sz w:val="28"/>
          <w:szCs w:val="28"/>
          <w:lang w:eastAsia="zh-CN"/>
        </w:rPr>
        <w:t>（</w:t>
      </w:r>
      <w:r>
        <w:rPr>
          <w:rFonts w:hint="eastAsia" w:ascii="仿宋" w:hAnsi="仿宋" w:eastAsia="仿宋"/>
          <w:sz w:val="28"/>
          <w:szCs w:val="28"/>
          <w:lang w:val="en-US" w:eastAsia="zh-CN"/>
        </w:rPr>
        <w:t>二次</w:t>
      </w:r>
      <w:r>
        <w:rPr>
          <w:rFonts w:hint="eastAsia" w:ascii="仿宋" w:hAnsi="仿宋" w:eastAsia="仿宋"/>
          <w:sz w:val="28"/>
          <w:szCs w:val="28"/>
          <w:lang w:eastAsia="zh-CN"/>
        </w:rPr>
        <w:t>）</w:t>
      </w:r>
    </w:p>
    <w:p>
      <w:pPr>
        <w:widowControl w:val="0"/>
        <w:tabs>
          <w:tab w:val="left" w:pos="839"/>
          <w:tab w:val="left" w:pos="1469"/>
        </w:tabs>
        <w:spacing w:after="0" w:line="500" w:lineRule="exac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数量及主要技术要求:详见《公开询价货物一览表》</w:t>
      </w:r>
    </w:p>
    <w:p>
      <w:pPr>
        <w:widowControl w:val="0"/>
        <w:tabs>
          <w:tab w:val="left" w:pos="839"/>
          <w:tab w:val="left" w:pos="1469"/>
        </w:tabs>
        <w:spacing w:after="0" w:line="500" w:lineRule="exact"/>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参与人资格标准：</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（1）参与人应具有独立法人资格，具有家具、教具生产或销售经营范围。</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（6）参与人有依法缴纳税金的良好记录。</w:t>
      </w:r>
    </w:p>
    <w:p>
      <w:pPr>
        <w:pStyle w:val="61"/>
        <w:spacing w:after="0" w:line="400" w:lineRule="exact"/>
        <w:ind w:left="709" w:hanging="709" w:firstLineChars="0"/>
        <w:jc w:val="left"/>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spacing w:after="0" w:line="460" w:lineRule="exact"/>
        <w:ind w:left="550" w:leftChars="25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spacing w:after="0" w:line="460" w:lineRule="exact"/>
        <w:ind w:left="550" w:leftChars="250"/>
        <w:rPr>
          <w:rFonts w:ascii="仿宋" w:hAnsi="仿宋" w:eastAsia="仿宋"/>
          <w:sz w:val="28"/>
          <w:szCs w:val="28"/>
        </w:rPr>
      </w:pPr>
      <w:r>
        <w:rPr>
          <w:rFonts w:hint="eastAsia" w:ascii="仿宋" w:hAnsi="仿宋" w:eastAsia="仿宋"/>
          <w:sz w:val="28"/>
          <w:szCs w:val="28"/>
        </w:rPr>
        <w:t>2）授权代理商需提供厂家授权证明；</w:t>
      </w:r>
    </w:p>
    <w:p>
      <w:pPr>
        <w:spacing w:after="0" w:line="460" w:lineRule="exact"/>
        <w:ind w:left="550" w:leftChars="25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）2020年公司财务报表及纳税证明；</w:t>
      </w:r>
    </w:p>
    <w:p>
      <w:pPr>
        <w:spacing w:after="0" w:line="460" w:lineRule="exact"/>
        <w:ind w:left="550" w:leftChars="250"/>
        <w:rPr>
          <w:rFonts w:ascii="仿宋" w:hAnsi="仿宋" w:eastAsia="仿宋"/>
          <w:sz w:val="28"/>
          <w:szCs w:val="28"/>
        </w:rPr>
      </w:pPr>
      <w:r>
        <w:rPr>
          <w:rFonts w:hint="eastAsia" w:ascii="仿宋" w:hAnsi="仿宋" w:eastAsia="仿宋"/>
          <w:sz w:val="28"/>
          <w:szCs w:val="28"/>
        </w:rPr>
        <w:t>4）社会保障资金的缴纳记录证明。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1" w:name="_Hlk67753571"/>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widowControl w:val="0"/>
        <w:tabs>
          <w:tab w:val="left" w:pos="839"/>
          <w:tab w:val="left" w:pos="1469"/>
        </w:tabs>
        <w:spacing w:after="0" w:line="440" w:lineRule="exact"/>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w:t>
      </w:r>
      <w:r>
        <w:rPr>
          <w:rFonts w:hint="eastAsia" w:ascii="仿宋" w:hAnsi="仿宋" w:eastAsia="仿宋"/>
          <w:sz w:val="28"/>
          <w:szCs w:val="28"/>
          <w:shd w:val="clear" w:color="auto" w:fill="FFFFFF"/>
          <w:lang w:val="en-US" w:eastAsia="zh-CN"/>
        </w:rPr>
        <w:t>07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30</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下午</w:t>
      </w:r>
      <w:r>
        <w:rPr>
          <w:rFonts w:ascii="仿宋" w:hAnsi="仿宋" w:eastAsia="仿宋"/>
          <w:sz w:val="28"/>
          <w:szCs w:val="28"/>
          <w:shd w:val="clear" w:color="auto" w:fill="FFFFFF"/>
        </w:rPr>
        <w:t>16</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前（以参与人快递寄出时间为准）。</w:t>
      </w:r>
    </w:p>
    <w:p>
      <w:pPr>
        <w:spacing w:after="0" w:line="440" w:lineRule="exact"/>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1"/>
    <w:p>
      <w:pPr>
        <w:spacing w:after="0" w:line="440" w:lineRule="exact"/>
        <w:ind w:left="839"/>
        <w:rPr>
          <w:rFonts w:ascii="仿宋" w:hAnsi="仿宋" w:eastAsia="仿宋"/>
          <w:b/>
          <w:bCs/>
          <w:sz w:val="28"/>
          <w:szCs w:val="28"/>
        </w:rPr>
      </w:pPr>
      <w:bookmarkStart w:id="52"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王刚</w:t>
      </w:r>
      <w:r>
        <w:rPr>
          <w:rFonts w:hint="eastAsia" w:ascii="仿宋" w:hAnsi="仿宋" w:eastAsia="仿宋"/>
          <w:b/>
          <w:bCs/>
          <w:sz w:val="28"/>
          <w:szCs w:val="28"/>
        </w:rPr>
        <w:t xml:space="preserve">      联系电话：18875090304 </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52"/>
    <w:p>
      <w:pPr>
        <w:spacing w:after="0" w:line="440" w:lineRule="exact"/>
        <w:jc w:val="left"/>
        <w:rPr>
          <w:rFonts w:ascii="仿宋" w:hAnsi="仿宋" w:eastAsia="仿宋"/>
          <w:sz w:val="28"/>
          <w:szCs w:val="28"/>
        </w:rPr>
      </w:pPr>
      <w:r>
        <w:rPr>
          <w:rFonts w:hint="eastAsia" w:ascii="仿宋" w:hAnsi="仿宋" w:eastAsia="仿宋"/>
          <w:sz w:val="28"/>
          <w:szCs w:val="28"/>
        </w:rPr>
        <w:t>二、参与人须知</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1.所有货物及施工改造服务等均以人民币报价；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 法定代表人为同一人的两个及两个以上法人；</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 母公司、直接或间接持股50％及以上的被投资公司;</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1.免费保修期，壹年以上；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bookmarkEnd w:id="330"/>
    <w:p>
      <w:pPr>
        <w:widowControl w:val="0"/>
        <w:spacing w:after="0" w:line="500" w:lineRule="exact"/>
        <w:jc w:val="left"/>
        <w:rPr>
          <w:rFonts w:ascii="仿宋" w:hAnsi="仿宋" w:eastAsia="仿宋"/>
          <w:sz w:val="28"/>
          <w:szCs w:val="28"/>
        </w:rPr>
      </w:pPr>
    </w:p>
    <w:p>
      <w:pPr>
        <w:widowControl w:val="0"/>
        <w:spacing w:after="0" w:line="500" w:lineRule="exact"/>
        <w:ind w:firstLine="560" w:firstLineChars="200"/>
        <w:jc w:val="left"/>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60"/>
        <w:spacing w:line="360" w:lineRule="auto"/>
        <w:jc w:val="center"/>
        <w:outlineLvl w:val="0"/>
        <w:rPr>
          <w:rFonts w:ascii="仿宋" w:hAnsi="仿宋" w:eastAsia="仿宋"/>
          <w:b/>
          <w:color w:val="auto"/>
          <w:sz w:val="44"/>
          <w:szCs w:val="44"/>
        </w:rPr>
      </w:pPr>
      <w:bookmarkStart w:id="53" w:name="_Hlk61444720"/>
      <w:r>
        <w:rPr>
          <w:rFonts w:hint="eastAsia" w:ascii="仿宋" w:hAnsi="仿宋" w:eastAsia="仿宋"/>
          <w:b/>
          <w:color w:val="auto"/>
          <w:sz w:val="44"/>
          <w:szCs w:val="44"/>
        </w:rPr>
        <w:t>二、公开询价</w:t>
      </w:r>
      <w:bookmarkEnd w:id="50"/>
      <w:r>
        <w:rPr>
          <w:rFonts w:hint="eastAsia" w:ascii="仿宋" w:hAnsi="仿宋" w:eastAsia="仿宋"/>
          <w:b/>
          <w:color w:val="auto"/>
          <w:sz w:val="44"/>
          <w:szCs w:val="44"/>
        </w:rPr>
        <w:t>项目介绍</w:t>
      </w:r>
    </w:p>
    <w:bookmarkEnd w:id="53"/>
    <w:p>
      <w:pPr>
        <w:spacing w:after="0" w:line="500" w:lineRule="exact"/>
        <w:ind w:left="1968" w:hanging="1968" w:hangingChars="700"/>
        <w:rPr>
          <w:rFonts w:hint="eastAsia" w:ascii="仿宋" w:hAnsi="仿宋" w:eastAsia="仿宋"/>
          <w:sz w:val="28"/>
          <w:szCs w:val="28"/>
          <w:lang w:eastAsia="zh-CN"/>
        </w:rPr>
      </w:pPr>
      <w:bookmarkStart w:id="54" w:name="_Hlk46845989"/>
      <w:r>
        <w:rPr>
          <w:rFonts w:hint="eastAsia" w:ascii="仿宋" w:hAnsi="仿宋" w:eastAsia="仿宋"/>
          <w:b/>
          <w:sz w:val="28"/>
          <w:szCs w:val="28"/>
        </w:rPr>
        <w:t>一、项目名称：</w:t>
      </w:r>
      <w:r>
        <w:rPr>
          <w:rFonts w:hint="eastAsia" w:ascii="仿宋" w:hAnsi="仿宋" w:eastAsia="仿宋"/>
          <w:sz w:val="28"/>
          <w:szCs w:val="28"/>
        </w:rPr>
        <w:t>艺术学院专升本项目</w:t>
      </w:r>
      <w:r>
        <w:rPr>
          <w:rFonts w:hint="eastAsia" w:ascii="仿宋" w:hAnsi="仿宋" w:eastAsia="仿宋"/>
          <w:sz w:val="28"/>
          <w:szCs w:val="28"/>
          <w:lang w:eastAsia="zh-CN"/>
        </w:rPr>
        <w:t>（</w:t>
      </w:r>
      <w:r>
        <w:rPr>
          <w:rFonts w:hint="eastAsia" w:ascii="仿宋" w:hAnsi="仿宋" w:eastAsia="仿宋"/>
          <w:sz w:val="28"/>
          <w:szCs w:val="28"/>
          <w:lang w:val="en-US" w:eastAsia="zh-CN"/>
        </w:rPr>
        <w:t>二次</w:t>
      </w:r>
      <w:r>
        <w:rPr>
          <w:rFonts w:hint="eastAsia" w:ascii="仿宋" w:hAnsi="仿宋" w:eastAsia="仿宋"/>
          <w:sz w:val="28"/>
          <w:szCs w:val="28"/>
          <w:lang w:eastAsia="zh-CN"/>
        </w:rPr>
        <w:t>）</w:t>
      </w:r>
    </w:p>
    <w:p>
      <w:pPr>
        <w:spacing w:after="0" w:line="500" w:lineRule="exact"/>
        <w:ind w:left="1968" w:hanging="1968" w:hangingChars="700"/>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重庆外语外事学院对艺术学院专升本教室设备</w:t>
      </w:r>
      <w:r>
        <w:rPr>
          <w:rFonts w:hint="eastAsia" w:ascii="仿宋" w:hAnsi="仿宋" w:eastAsia="仿宋"/>
          <w:sz w:val="28"/>
          <w:szCs w:val="28"/>
          <w:lang w:val="en-US" w:eastAsia="zh-CN"/>
        </w:rPr>
        <w:t>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w:t>
      </w:r>
      <w:r>
        <w:rPr>
          <w:rFonts w:hint="eastAsia" w:ascii="仿宋" w:hAnsi="仿宋" w:eastAsia="仿宋"/>
          <w:bCs/>
          <w:sz w:val="28"/>
          <w:szCs w:val="28"/>
          <w:lang w:val="en-US" w:eastAsia="zh-CN"/>
        </w:rPr>
        <w:t>08</w:t>
      </w:r>
      <w:r>
        <w:rPr>
          <w:rFonts w:hint="eastAsia" w:ascii="仿宋" w:hAnsi="仿宋" w:eastAsia="仿宋"/>
          <w:bCs/>
          <w:sz w:val="28"/>
          <w:szCs w:val="28"/>
        </w:rPr>
        <w:t>月</w:t>
      </w:r>
      <w:r>
        <w:rPr>
          <w:rFonts w:hint="eastAsia" w:ascii="仿宋" w:hAnsi="仿宋" w:eastAsia="仿宋"/>
          <w:bCs/>
          <w:sz w:val="28"/>
          <w:szCs w:val="28"/>
          <w:lang w:val="en-US" w:eastAsia="zh-CN"/>
        </w:rPr>
        <w:t>20</w:t>
      </w:r>
      <w:r>
        <w:rPr>
          <w:rFonts w:hint="eastAsia" w:ascii="仿宋" w:hAnsi="仿宋" w:eastAsia="仿宋"/>
          <w:bCs/>
          <w:sz w:val="28"/>
          <w:szCs w:val="28"/>
        </w:rPr>
        <w:t>日前，具体以学校通知为准。</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（2）交货地点：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号重庆外语外事学院渝北校区办公楼</w:t>
      </w:r>
      <w:r>
        <w:rPr>
          <w:rFonts w:ascii="仿宋" w:hAnsi="仿宋" w:eastAsia="仿宋"/>
          <w:sz w:val="28"/>
          <w:szCs w:val="28"/>
        </w:rPr>
        <w:t>3</w:t>
      </w:r>
      <w:r>
        <w:rPr>
          <w:rFonts w:hint="eastAsia" w:ascii="仿宋" w:hAnsi="仿宋" w:eastAsia="仿宋"/>
          <w:sz w:val="28"/>
          <w:szCs w:val="28"/>
        </w:rPr>
        <w:t>楼306室。</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（4）付款方式：安装完成验收合格付95%，一年须保期满无重大质量问题付5%。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叁</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Cs/>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54"/>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60"/>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6"/>
        <w:tblW w:w="13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012"/>
        <w:gridCol w:w="4482"/>
        <w:gridCol w:w="1017"/>
        <w:gridCol w:w="1017"/>
        <w:gridCol w:w="1035"/>
        <w:gridCol w:w="1197"/>
        <w:gridCol w:w="1242"/>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04"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品牌</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1035"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119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124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便携式投影仪</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分辨率：1</w:t>
            </w:r>
            <w:r>
              <w:rPr>
                <w:rFonts w:hint="eastAsia" w:ascii="新宋体" w:hAnsi="新宋体" w:eastAsia="新宋体" w:cs="宋体"/>
                <w:bCs/>
                <w:color w:val="000000"/>
                <w:sz w:val="20"/>
                <w:szCs w:val="20"/>
                <w:lang w:val="en-US" w:eastAsia="zh-CN"/>
              </w:rPr>
              <w:t>280</w:t>
            </w:r>
            <w:r>
              <w:rPr>
                <w:rFonts w:hint="eastAsia" w:ascii="新宋体" w:hAnsi="新宋体" w:eastAsia="新宋体" w:cs="宋体"/>
                <w:bCs/>
                <w:color w:val="000000"/>
                <w:sz w:val="20"/>
                <w:szCs w:val="20"/>
              </w:rPr>
              <w:t>*</w:t>
            </w:r>
            <w:r>
              <w:rPr>
                <w:rFonts w:hint="eastAsia" w:ascii="新宋体" w:hAnsi="新宋体" w:eastAsia="新宋体" w:cs="宋体"/>
                <w:bCs/>
                <w:color w:val="000000"/>
                <w:sz w:val="20"/>
                <w:szCs w:val="20"/>
                <w:lang w:val="en-US" w:eastAsia="zh-CN"/>
              </w:rPr>
              <w:t>800</w:t>
            </w:r>
            <w:r>
              <w:rPr>
                <w:rFonts w:hint="eastAsia" w:ascii="新宋体" w:hAnsi="新宋体" w:eastAsia="新宋体" w:cs="宋体"/>
                <w:bCs/>
                <w:color w:val="000000"/>
                <w:sz w:val="20"/>
                <w:szCs w:val="20"/>
              </w:rPr>
              <w:t>，亮度：4000流明，对比度2500000：1激光投影</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auto"/>
              <w:textAlignment w:val="auto"/>
              <w:rPr>
                <w:rFonts w:hint="eastAsia" w:ascii="新宋体" w:hAnsi="新宋体" w:eastAsia="新宋体" w:cs="宋体"/>
                <w:bCs/>
                <w:color w:val="000000"/>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r>
              <w:rPr>
                <w:rFonts w:hint="eastAsia" w:ascii="新宋体" w:hAnsi="新宋体" w:eastAsia="新宋体" w:cs="宋体"/>
                <w:bCs/>
                <w:color w:val="000000"/>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教师用工作台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加厚环保密度板，可安装电源（侧面）。原木色桌面、灰色桌腿、边缘需封包。参考尺寸：1400×800×250mm。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教师工作台储物柜</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厚加厚环保密度板，可安装交换机，原木色桌面、灰色桌腿、边缘需封包。参考尺寸：400×600×600mm。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eastAsiaTheme="minorEastAsia"/>
                <w:szCs w:val="21"/>
                <w:lang w:val="en-US" w:eastAsia="zh-CN"/>
              </w:rPr>
            </w:pPr>
            <w:r>
              <w:rPr>
                <w:rFonts w:hint="eastAsia" w:ascii="宋体" w:hAnsi="宋体"/>
                <w:szCs w:val="21"/>
                <w:lang w:val="en-US" w:eastAsia="zh-CN"/>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eastAsiaTheme="minorEastAsia"/>
                <w:szCs w:val="21"/>
                <w:lang w:val="en-US" w:eastAsia="zh-CN"/>
              </w:rPr>
            </w:pPr>
            <w:r>
              <w:rPr>
                <w:rFonts w:hint="eastAsia" w:ascii="宋体" w:hAnsi="宋体"/>
                <w:szCs w:val="21"/>
                <w:lang w:val="en-US" w:eastAsia="zh-CN"/>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szCs w:val="21"/>
              </w:rPr>
            </w:pPr>
            <w:r>
              <w:rPr>
                <w:rFonts w:hint="eastAsia" w:ascii="宋体" w:hAnsi="宋体"/>
                <w:szCs w:val="21"/>
              </w:rPr>
              <w:t>教师用椅子</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人体工程学椅背、高弹力网布椅面、带静音轮、黑色。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lang w:val="en-US" w:eastAsia="zh-CN"/>
              </w:rPr>
              <w:t>学术会议桌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加厚环保密度板，柚木色，桌面预留电源、投影、音频等接口。参考尺寸：3000×1200×50mm。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套</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学术会议椅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不锈钢框架，深色布艺座面，环保透气靠背。</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把</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eastAsiaTheme="minorEastAsia"/>
                <w:szCs w:val="21"/>
                <w:lang w:val="en-US" w:eastAsia="zh-CN"/>
              </w:rPr>
            </w:pPr>
            <w:r>
              <w:rPr>
                <w:rFonts w:hint="eastAsia" w:ascii="宋体"/>
                <w:szCs w:val="21"/>
                <w:lang w:val="en-US" w:eastAsia="zh-CN"/>
              </w:rPr>
              <w:t>14</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
                <w:bCs/>
                <w:color w:val="000000"/>
                <w:szCs w:val="21"/>
                <w:lang w:val="en-US" w:eastAsia="zh-CN"/>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ascii="宋体"/>
                <w:szCs w:val="21"/>
              </w:rPr>
              <w:t>活动白板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rPr>
            </w:pPr>
            <w:r>
              <w:rPr>
                <w:rFonts w:hint="eastAsia" w:ascii="新宋体" w:hAnsi="新宋体" w:eastAsia="新宋体" w:cs="宋体"/>
                <w:bCs/>
                <w:color w:val="000000"/>
                <w:sz w:val="20"/>
                <w:szCs w:val="20"/>
              </w:rPr>
              <w:t>支架式升降、可移动白板,双面磁性</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w:t>
            </w:r>
            <w:r>
              <w:rPr>
                <w:rFonts w:hint="eastAsia" w:ascii="新宋体" w:hAnsi="新宋体" w:eastAsia="新宋体" w:cs="宋体"/>
                <w:bCs/>
                <w:color w:val="000000"/>
                <w:sz w:val="20"/>
                <w:szCs w:val="20"/>
                <w:lang w:val="en-US" w:eastAsia="zh-CN"/>
              </w:rPr>
              <w:t>800×900mm。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r>
              <w:rPr>
                <w:rFonts w:hint="eastAsia" w:ascii="宋体" w:hAnsi="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8</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空调</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3P</w:t>
            </w:r>
          </w:p>
        </w:tc>
        <w:tc>
          <w:tcPr>
            <w:tcW w:w="1017" w:type="dxa"/>
            <w:vAlign w:val="center"/>
          </w:tcPr>
          <w:p>
            <w:pPr>
              <w:keepNext w:val="0"/>
              <w:keepLines w:val="0"/>
              <w:pageBreakBefore w:val="0"/>
              <w:widowControl/>
              <w:kinsoku/>
              <w:wordWrap w:val="0"/>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9</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学生座椅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玻纤加厚一体成形，牛角椅，灰色。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490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10</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单人桌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桌面浅胡桃色、桌架白色、带抽屉</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800</w:t>
            </w:r>
            <w:r>
              <w:rPr>
                <w:rFonts w:hint="eastAsia" w:ascii="新宋体" w:hAnsi="新宋体" w:eastAsia="新宋体" w:cs="宋体"/>
                <w:bCs/>
                <w:color w:val="000000"/>
                <w:sz w:val="20"/>
                <w:szCs w:val="20"/>
                <w:lang w:val="en-US" w:eastAsia="zh-CN"/>
              </w:rPr>
              <w:t>×5</w:t>
            </w:r>
            <w:r>
              <w:rPr>
                <w:rFonts w:hint="eastAsia" w:ascii="新宋体" w:hAnsi="新宋体" w:eastAsia="新宋体" w:cs="宋体"/>
                <w:bCs/>
                <w:color w:val="000000"/>
                <w:sz w:val="20"/>
                <w:szCs w:val="20"/>
              </w:rPr>
              <w:t>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740</w:t>
            </w:r>
            <w:r>
              <w:rPr>
                <w:rFonts w:hint="eastAsia" w:ascii="新宋体" w:hAnsi="新宋体" w:eastAsia="新宋体" w:cs="宋体"/>
                <w:bCs/>
                <w:color w:val="000000"/>
                <w:sz w:val="20"/>
                <w:szCs w:val="20"/>
                <w:lang w:val="en-US" w:eastAsia="zh-CN"/>
              </w:rPr>
              <w:t>mm</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420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highlight w:val="none"/>
                <w:lang w:eastAsia="zh-CN"/>
              </w:rPr>
            </w:pPr>
            <w:r>
              <w:rPr>
                <w:rFonts w:hint="eastAsia" w:ascii="宋体" w:hAnsi="宋体" w:cs="宋体"/>
                <w:bCs/>
                <w:color w:val="000000"/>
                <w:sz w:val="20"/>
                <w:szCs w:val="20"/>
                <w:highlight w:val="none"/>
              </w:rPr>
              <w:t>1</w:t>
            </w:r>
            <w:r>
              <w:rPr>
                <w:rFonts w:hint="eastAsia" w:ascii="宋体" w:hAnsi="宋体" w:cs="宋体"/>
                <w:bCs/>
                <w:color w:val="000000"/>
                <w:sz w:val="20"/>
                <w:szCs w:val="20"/>
                <w:highlight w:val="none"/>
                <w:lang w:val="en-US" w:eastAsia="zh-CN"/>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highlight w:val="none"/>
              </w:rPr>
            </w:pPr>
            <w:r>
              <w:rPr>
                <w:rFonts w:hint="eastAsia" w:ascii="新宋体" w:hAnsi="新宋体" w:eastAsia="新宋体" w:cs="宋体"/>
                <w:bCs/>
                <w:color w:val="000000"/>
                <w:sz w:val="20"/>
                <w:szCs w:val="20"/>
                <w:highlight w:val="none"/>
              </w:rPr>
              <w:t>钢化玻璃绘图桌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highlight w:val="none"/>
                <w:lang w:val="en-US" w:eastAsia="zh-CN"/>
              </w:rPr>
            </w:pPr>
            <w:r>
              <w:rPr>
                <w:rFonts w:hint="eastAsia" w:ascii="新宋体" w:hAnsi="新宋体" w:eastAsia="新宋体" w:cs="宋体"/>
                <w:bCs/>
                <w:color w:val="000000"/>
                <w:sz w:val="20"/>
                <w:szCs w:val="20"/>
                <w:highlight w:val="none"/>
              </w:rPr>
              <w:t>五档桌面调节</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钢化玻璃面板</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六档高度可调</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左右拉伸副板</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带可折叠绘图灯</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lang w:val="en-US" w:eastAsia="zh-CN"/>
              </w:rPr>
              <w:t>参考尺寸：</w:t>
            </w:r>
            <w:r>
              <w:rPr>
                <w:rFonts w:hint="eastAsia" w:ascii="新宋体" w:hAnsi="新宋体" w:eastAsia="新宋体" w:cs="宋体"/>
                <w:bCs/>
                <w:color w:val="000000"/>
                <w:sz w:val="20"/>
                <w:szCs w:val="20"/>
                <w:highlight w:val="none"/>
              </w:rPr>
              <w:t>1190</w:t>
            </w:r>
            <w:r>
              <w:rPr>
                <w:rFonts w:hint="eastAsia" w:ascii="新宋体" w:hAnsi="新宋体" w:eastAsia="新宋体" w:cs="宋体"/>
                <w:bCs/>
                <w:color w:val="000000"/>
                <w:sz w:val="20"/>
                <w:szCs w:val="20"/>
                <w:highlight w:val="none"/>
                <w:lang w:val="en-US" w:eastAsia="zh-CN"/>
              </w:rPr>
              <w:t>×</w:t>
            </w:r>
            <w:r>
              <w:rPr>
                <w:rFonts w:hint="eastAsia" w:ascii="新宋体" w:hAnsi="新宋体" w:eastAsia="新宋体" w:cs="宋体"/>
                <w:bCs/>
                <w:color w:val="000000"/>
                <w:sz w:val="20"/>
                <w:szCs w:val="20"/>
                <w:highlight w:val="none"/>
              </w:rPr>
              <w:t>600</w:t>
            </w:r>
            <w:r>
              <w:rPr>
                <w:rFonts w:hint="eastAsia" w:ascii="新宋体" w:hAnsi="新宋体" w:eastAsia="新宋体" w:cs="宋体"/>
                <w:bCs/>
                <w:color w:val="000000"/>
                <w:sz w:val="20"/>
                <w:szCs w:val="20"/>
                <w:highlight w:val="none"/>
                <w:lang w:val="en-US" w:eastAsia="zh-CN"/>
              </w:rPr>
              <w:t>×（</w:t>
            </w:r>
            <w:r>
              <w:rPr>
                <w:rFonts w:hint="eastAsia" w:ascii="新宋体" w:hAnsi="新宋体" w:eastAsia="新宋体" w:cs="宋体"/>
                <w:bCs/>
                <w:color w:val="000000"/>
                <w:sz w:val="20"/>
                <w:szCs w:val="20"/>
                <w:highlight w:val="none"/>
              </w:rPr>
              <w:t>780-930</w:t>
            </w:r>
            <w:r>
              <w:rPr>
                <w:rFonts w:hint="eastAsia" w:ascii="新宋体" w:hAnsi="新宋体" w:eastAsia="新宋体" w:cs="宋体"/>
                <w:bCs/>
                <w:color w:val="000000"/>
                <w:sz w:val="20"/>
                <w:szCs w:val="20"/>
                <w:highlight w:val="none"/>
                <w:lang w:val="en-US" w:eastAsia="zh-CN"/>
              </w:rPr>
              <w:t>）mm。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highlight w:val="none"/>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highlight w:val="none"/>
              </w:rPr>
            </w:pPr>
            <w:r>
              <w:rPr>
                <w:rFonts w:hint="eastAsia" w:ascii="新宋体" w:hAnsi="新宋体" w:eastAsia="新宋体" w:cs="宋体"/>
                <w:bCs/>
                <w:color w:val="000000"/>
                <w:sz w:val="20"/>
                <w:szCs w:val="20"/>
                <w:highlight w:val="none"/>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新宋体" w:hAnsi="新宋体" w:eastAsia="新宋体" w:cs="宋体"/>
                <w:bCs/>
                <w:color w:val="000000"/>
                <w:sz w:val="20"/>
                <w:szCs w:val="20"/>
                <w:highlight w:val="none"/>
                <w:lang w:val="en-US" w:eastAsia="zh-CN"/>
              </w:rPr>
            </w:pPr>
            <w:r>
              <w:rPr>
                <w:rFonts w:hint="eastAsia" w:ascii="新宋体" w:hAnsi="新宋体" w:eastAsia="新宋体" w:cs="宋体"/>
                <w:bCs/>
                <w:color w:val="000000"/>
                <w:sz w:val="20"/>
                <w:szCs w:val="20"/>
                <w:highlight w:val="none"/>
                <w:lang w:val="en-US" w:eastAsia="zh-CN"/>
              </w:rPr>
              <w:t>60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highlight w:val="none"/>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highlight w:val="none"/>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highlight w:val="none"/>
              </w:rPr>
            </w:pPr>
            <w:r>
              <w:rPr>
                <w:rFonts w:hint="eastAsia" w:ascii="宋体" w:hAnsi="宋体" w:cs="宋体"/>
                <w:b w:val="0"/>
                <w:bCs w:val="0"/>
                <w:color w:val="000000"/>
                <w:szCs w:val="21"/>
                <w:highlight w:val="none"/>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新宋体" w:hAnsi="新宋体" w:eastAsia="新宋体" w:cs="宋体"/>
                <w:bCs/>
                <w:sz w:val="20"/>
                <w:szCs w:val="20"/>
              </w:rPr>
              <w:t>创意工作台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加厚环保密度板，原木色桌面、灰色桌腿。可安装电源与网络接口（桌面中间），参考尺寸：2400×120×25mm。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r>
              <w:rPr>
                <w:rFonts w:hint="eastAsia" w:ascii="新宋体" w:hAnsi="新宋体" w:eastAsia="新宋体" w:cs="宋体"/>
                <w:bCs/>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大桌板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免漆板包边（浅胡桃木色）</w:t>
            </w:r>
            <w:r>
              <w:rPr>
                <w:rFonts w:hint="eastAsia" w:ascii="新宋体" w:hAnsi="新宋体" w:eastAsia="新宋体" w:cs="宋体"/>
                <w:bCs/>
                <w:color w:val="000000"/>
                <w:sz w:val="20"/>
                <w:szCs w:val="20"/>
                <w:lang w:val="en-US" w:eastAsia="zh-CN"/>
              </w:rPr>
              <w:t>2400×1200mm。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lang w:eastAsia="zh-CN"/>
              </w:rPr>
            </w:pPr>
            <w:r>
              <w:rPr>
                <w:rFonts w:hint="eastAsia" w:ascii="新宋体" w:hAnsi="新宋体" w:eastAsia="新宋体" w:cs="宋体"/>
                <w:bCs/>
                <w:color w:val="000000"/>
                <w:szCs w:val="21"/>
              </w:rPr>
              <w:t>1</w:t>
            </w:r>
            <w:r>
              <w:rPr>
                <w:rFonts w:hint="eastAsia" w:ascii="新宋体" w:hAnsi="新宋体" w:eastAsia="新宋体" w:cs="宋体"/>
                <w:bCs/>
                <w:color w:val="000000"/>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窗帘</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具体尺寸以现场测量为准</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滑轨方式</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按1：1.5制作窗帘褶皱</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颜色可选，布料要求防晒、遮光。耐摩擦色牢度：干摩≥4级，湿摩≥4级；耐光色牢度≥5级；厚度0.6-0.7mm;透气率：55-60mm/s</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15</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hint="eastAsia" w:ascii="新宋体" w:hAnsi="新宋体" w:eastAsia="新宋体" w:cs="宋体"/>
                <w:bCs/>
                <w:color w:val="000000"/>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其他</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材料转运、</w:t>
            </w:r>
            <w:r>
              <w:rPr>
                <w:rFonts w:hint="eastAsia" w:ascii="新宋体" w:hAnsi="新宋体" w:eastAsia="新宋体" w:cs="宋体"/>
                <w:bCs/>
                <w:color w:val="000000"/>
                <w:sz w:val="20"/>
                <w:szCs w:val="20"/>
              </w:rPr>
              <w:t>清洁、除渣、搬运等</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3885" w:type="dxa"/>
            <w:gridSpan w:val="9"/>
            <w:vAlign w:val="center"/>
          </w:tcPr>
          <w:p>
            <w:pPr>
              <w:keepNext w:val="0"/>
              <w:keepLines w:val="0"/>
              <w:pageBreakBefore w:val="0"/>
              <w:widowControl/>
              <w:kinsoku/>
              <w:wordWrap/>
              <w:overflowPunct/>
              <w:topLinePunct w:val="0"/>
              <w:autoSpaceDE/>
              <w:autoSpaceDN/>
              <w:bidi w:val="0"/>
              <w:adjustRightInd/>
              <w:snapToGrid/>
              <w:spacing w:before="80" w:after="80" w:line="240" w:lineRule="auto"/>
              <w:jc w:val="center"/>
              <w:textAlignment w:val="auto"/>
              <w:rPr>
                <w:rFonts w:hint="default"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 xml:space="preserve">合计：大写           小写        </w:t>
            </w:r>
          </w:p>
        </w:tc>
      </w:tr>
    </w:tbl>
    <w:p>
      <w:pPr>
        <w:pStyle w:val="17"/>
        <w:spacing w:line="500" w:lineRule="exact"/>
        <w:ind w:firstLine="560" w:firstLineChars="200"/>
        <w:jc w:val="left"/>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pP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1134"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rPr>
        <w:t>关于艺术学院专升本教室设备采购项目</w:t>
      </w:r>
      <w:r>
        <w:rPr>
          <w:rFonts w:hint="eastAsia" w:ascii="仿宋" w:hAnsi="仿宋" w:eastAsia="仿宋"/>
          <w:b/>
          <w:sz w:val="44"/>
          <w:szCs w:val="44"/>
          <w:lang w:eastAsia="zh-CN"/>
        </w:rPr>
        <w:t>（</w:t>
      </w:r>
      <w:r>
        <w:rPr>
          <w:rFonts w:hint="eastAsia" w:ascii="仿宋" w:hAnsi="仿宋" w:eastAsia="仿宋"/>
          <w:b/>
          <w:sz w:val="44"/>
          <w:szCs w:val="44"/>
          <w:lang w:val="en-US" w:eastAsia="zh-CN"/>
        </w:rPr>
        <w:t>二次</w:t>
      </w:r>
      <w:r>
        <w:rPr>
          <w:rFonts w:hint="eastAsia" w:ascii="仿宋" w:hAnsi="仿宋" w:eastAsia="仿宋"/>
          <w:b/>
          <w:sz w:val="44"/>
          <w:szCs w:val="44"/>
          <w:lang w:eastAsia="zh-CN"/>
        </w:rPr>
        <w:t>）</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5" w:name="_Toc191783222"/>
      <w:bookmarkStart w:id="56" w:name="_Toc203355733"/>
      <w:bookmarkStart w:id="57" w:name="_Toc213755995"/>
      <w:bookmarkStart w:id="58" w:name="_Toc223146608"/>
      <w:bookmarkStart w:id="59" w:name="_Toc235438274"/>
      <w:bookmarkStart w:id="60" w:name="_Toc266868670"/>
      <w:bookmarkStart w:id="61" w:name="_Toc251586231"/>
      <w:bookmarkStart w:id="62" w:name="_Toc267059806"/>
      <w:bookmarkStart w:id="63" w:name="_Toc235438344"/>
      <w:bookmarkStart w:id="64" w:name="_Toc182805217"/>
      <w:bookmarkStart w:id="65" w:name="_Toc213756051"/>
      <w:bookmarkStart w:id="66" w:name="_Toc266870833"/>
      <w:bookmarkStart w:id="67" w:name="_Toc267059919"/>
      <w:bookmarkStart w:id="68" w:name="_Toc267060321"/>
      <w:bookmarkStart w:id="69" w:name="_Toc273178698"/>
      <w:bookmarkStart w:id="70" w:name="_Toc267060068"/>
      <w:bookmarkStart w:id="71" w:name="_Toc266868937"/>
      <w:bookmarkStart w:id="72" w:name="_Toc181436461"/>
      <w:bookmarkStart w:id="73" w:name="_Toc211917116"/>
      <w:bookmarkStart w:id="74" w:name="_Toc266870907"/>
      <w:bookmarkStart w:id="75" w:name="_Toc232302115"/>
      <w:bookmarkStart w:id="76" w:name="_Toc160880160"/>
      <w:bookmarkStart w:id="77" w:name="_Toc267059030"/>
      <w:bookmarkStart w:id="78" w:name="_Toc249325711"/>
      <w:bookmarkStart w:id="79" w:name="_Toc192996446"/>
      <w:bookmarkStart w:id="80" w:name="_Toc191803626"/>
      <w:bookmarkStart w:id="81" w:name="_Toc170798793"/>
      <w:bookmarkStart w:id="82" w:name="_Toc213755939"/>
      <w:bookmarkStart w:id="83" w:name="_Toc160880529"/>
      <w:bookmarkStart w:id="84" w:name="_Toc230071147"/>
      <w:bookmarkStart w:id="85" w:name="_Toc177985469"/>
      <w:bookmarkStart w:id="86" w:name="_Toc266870432"/>
      <w:bookmarkStart w:id="87" w:name="_Toc180302913"/>
      <w:bookmarkStart w:id="88" w:name="_Toc267059653"/>
      <w:bookmarkStart w:id="89" w:name="_Toc191789329"/>
      <w:bookmarkStart w:id="90" w:name="_Toc213208766"/>
      <w:bookmarkStart w:id="91" w:name="_Toc254790899"/>
      <w:bookmarkStart w:id="92" w:name="_Toc253066614"/>
      <w:bookmarkStart w:id="93" w:name="_Toc182372782"/>
      <w:bookmarkStart w:id="94" w:name="_Toc235437991"/>
      <w:bookmarkStart w:id="95" w:name="_Toc191802690"/>
      <w:bookmarkStart w:id="96" w:name="_Toc259692647"/>
      <w:bookmarkStart w:id="97" w:name="_Toc267059181"/>
      <w:bookmarkStart w:id="98" w:name="_Toc192663835"/>
      <w:bookmarkStart w:id="99" w:name="_Toc217891402"/>
      <w:bookmarkStart w:id="100" w:name="_Toc259520865"/>
      <w:bookmarkStart w:id="101" w:name="_Toc225669322"/>
      <w:bookmarkStart w:id="102" w:name="_Toc181436565"/>
      <w:bookmarkStart w:id="103" w:name="_Toc236021449"/>
      <w:bookmarkStart w:id="104" w:name="_Toc267059539"/>
      <w:bookmarkStart w:id="105" w:name="_Toc193160448"/>
      <w:bookmarkStart w:id="106" w:name="_Toc213755858"/>
      <w:bookmarkStart w:id="107" w:name="_Toc227058530"/>
      <w:bookmarkStart w:id="108" w:name="_Toc255975007"/>
      <w:bookmarkStart w:id="109" w:name="_Toc267060453"/>
      <w:bookmarkStart w:id="110" w:name="_Toc251613829"/>
      <w:bookmarkStart w:id="111" w:name="_Toc267060208"/>
      <w:bookmarkStart w:id="112" w:name="_Toc192663686"/>
      <w:bookmarkStart w:id="113" w:name="_Toc169332838"/>
      <w:bookmarkStart w:id="114" w:name="_Toc169332949"/>
      <w:bookmarkStart w:id="115" w:name="_Toc192996338"/>
      <w:bookmarkStart w:id="116" w:name="_Toc192664153"/>
      <w:bookmarkStart w:id="117" w:name="_Toc259692740"/>
      <w:bookmarkStart w:id="118" w:name="_Toc193165734"/>
      <w:bookmarkStart w:id="119" w:name="_Toc219800243"/>
      <w:bookmarkStart w:id="120" w:name="_Toc258401256"/>
      <w:r>
        <w:rPr>
          <w:rFonts w:hint="eastAsia" w:ascii="仿宋" w:hAnsi="仿宋" w:eastAsia="仿宋"/>
          <w:b/>
          <w:bCs/>
          <w:sz w:val="28"/>
          <w:szCs w:val="28"/>
        </w:rPr>
        <w:t>1、</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根据贵方渝北校区档案设备采购项目的公开询价邀请（编号）: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2"/>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1"/>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161" w:afterLines="50" w:line="400" w:lineRule="exact"/>
        <w:ind w:left="147" w:leftChars="67"/>
        <w:rPr>
          <w:rFonts w:ascii="仿宋" w:hAnsi="仿宋" w:eastAsia="仿宋"/>
          <w:sz w:val="28"/>
          <w:szCs w:val="28"/>
        </w:rPr>
      </w:pPr>
      <w:bookmarkStart w:id="122" w:name="_Toc266870916"/>
      <w:bookmarkStart w:id="123" w:name="_Toc223146614"/>
      <w:bookmarkStart w:id="124" w:name="_Toc235437998"/>
      <w:bookmarkStart w:id="125" w:name="_Toc251613839"/>
      <w:bookmarkStart w:id="126" w:name="_Toc267060326"/>
      <w:bookmarkStart w:id="127" w:name="_Toc267059544"/>
      <w:bookmarkStart w:id="128" w:name="_Toc254790909"/>
      <w:bookmarkStart w:id="129" w:name="_Toc266870441"/>
      <w:bookmarkStart w:id="130" w:name="_Toc169332843"/>
      <w:bookmarkStart w:id="131" w:name="_Toc170798798"/>
      <w:bookmarkStart w:id="132" w:name="_Toc181436466"/>
      <w:bookmarkStart w:id="133" w:name="_Toc181436570"/>
      <w:bookmarkStart w:id="134" w:name="_Toc180302918"/>
      <w:bookmarkStart w:id="135" w:name="_Toc267059658"/>
      <w:bookmarkStart w:id="136" w:name="_Toc236021457"/>
      <w:bookmarkStart w:id="137" w:name="_Toc203355738"/>
      <w:bookmarkStart w:id="138" w:name="_Toc267059924"/>
      <w:bookmarkStart w:id="139" w:name="_Toc169332954"/>
      <w:bookmarkStart w:id="140" w:name="_Toc259692749"/>
      <w:bookmarkStart w:id="141" w:name="_Toc191789334"/>
      <w:bookmarkStart w:id="142" w:name="_Toc211917121"/>
      <w:bookmarkStart w:id="143" w:name="_Toc267059035"/>
      <w:bookmarkStart w:id="144" w:name="_Toc213208771"/>
      <w:bookmarkStart w:id="145" w:name="_Toc251586241"/>
      <w:bookmarkStart w:id="146" w:name="_Toc249325720"/>
      <w:bookmarkStart w:id="147" w:name="_Toc217891408"/>
      <w:bookmarkStart w:id="148" w:name="_Toc160880165"/>
      <w:bookmarkStart w:id="149" w:name="_Toc191803631"/>
      <w:bookmarkStart w:id="150" w:name="_Toc193165739"/>
      <w:bookmarkStart w:id="151" w:name="_Toc230071153"/>
      <w:bookmarkStart w:id="152" w:name="_Toc267060461"/>
      <w:bookmarkStart w:id="153" w:name="_Toc259520874"/>
      <w:bookmarkStart w:id="154" w:name="_Toc232302122"/>
      <w:bookmarkStart w:id="155" w:name="_Toc192664158"/>
      <w:bookmarkStart w:id="156" w:name="_Toc213756057"/>
      <w:bookmarkStart w:id="157" w:name="_Toc235438281"/>
      <w:bookmarkStart w:id="158" w:name="_Toc213755864"/>
      <w:bookmarkStart w:id="159" w:name="_Toc266870839"/>
      <w:bookmarkStart w:id="160" w:name="_Toc191783227"/>
      <w:bookmarkStart w:id="161" w:name="_Toc182805222"/>
      <w:bookmarkStart w:id="162" w:name="_Toc192996343"/>
      <w:bookmarkStart w:id="163" w:name="_Toc267060216"/>
      <w:bookmarkStart w:id="164" w:name="_Toc193160453"/>
      <w:bookmarkStart w:id="165" w:name="_Toc273178703"/>
      <w:bookmarkStart w:id="166" w:name="_Toc192996451"/>
      <w:bookmarkStart w:id="167" w:name="_Toc225669328"/>
      <w:bookmarkStart w:id="168" w:name="_Toc191802695"/>
      <w:bookmarkStart w:id="169" w:name="_Toc177985474"/>
      <w:bookmarkStart w:id="170" w:name="_Toc213755945"/>
      <w:bookmarkStart w:id="171" w:name="_Toc267059811"/>
      <w:bookmarkStart w:id="172" w:name="_Toc192663840"/>
      <w:bookmarkStart w:id="173" w:name="_Toc213756001"/>
      <w:bookmarkStart w:id="174" w:name="_Toc267059186"/>
      <w:bookmarkStart w:id="175" w:name="_Toc255975016"/>
      <w:bookmarkStart w:id="176" w:name="_Toc182372787"/>
      <w:bookmarkStart w:id="177" w:name="_Toc267060076"/>
      <w:bookmarkStart w:id="178" w:name="_Toc235438352"/>
      <w:bookmarkStart w:id="179" w:name="_Toc192663691"/>
      <w:bookmarkStart w:id="180" w:name="_Toc258401265"/>
      <w:bookmarkStart w:id="181" w:name="_Toc219800249"/>
      <w:bookmarkStart w:id="182" w:name="_Toc266868943"/>
      <w:bookmarkStart w:id="183" w:name="_Toc227058536"/>
      <w:bookmarkStart w:id="184" w:name="_Toc160880534"/>
      <w:bookmarkStart w:id="185" w:name="_Toc259692656"/>
      <w:bookmarkStart w:id="186" w:name="_Toc253066624"/>
      <w:bookmarkStart w:id="187" w:name="_Toc266868679"/>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after="161" w:afterLines="50" w:line="40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3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012"/>
        <w:gridCol w:w="4482"/>
        <w:gridCol w:w="1017"/>
        <w:gridCol w:w="1017"/>
        <w:gridCol w:w="1035"/>
        <w:gridCol w:w="1197"/>
        <w:gridCol w:w="1242"/>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04"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品牌</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1035"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119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124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便携式投影仪</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分辨率：1</w:t>
            </w:r>
            <w:r>
              <w:rPr>
                <w:rFonts w:hint="eastAsia" w:ascii="新宋体" w:hAnsi="新宋体" w:eastAsia="新宋体" w:cs="宋体"/>
                <w:bCs/>
                <w:color w:val="000000"/>
                <w:sz w:val="20"/>
                <w:szCs w:val="20"/>
                <w:lang w:val="en-US" w:eastAsia="zh-CN"/>
              </w:rPr>
              <w:t>280</w:t>
            </w:r>
            <w:r>
              <w:rPr>
                <w:rFonts w:hint="eastAsia" w:ascii="新宋体" w:hAnsi="新宋体" w:eastAsia="新宋体" w:cs="宋体"/>
                <w:bCs/>
                <w:color w:val="000000"/>
                <w:sz w:val="20"/>
                <w:szCs w:val="20"/>
              </w:rPr>
              <w:t>*</w:t>
            </w:r>
            <w:r>
              <w:rPr>
                <w:rFonts w:hint="eastAsia" w:ascii="新宋体" w:hAnsi="新宋体" w:eastAsia="新宋体" w:cs="宋体"/>
                <w:bCs/>
                <w:color w:val="000000"/>
                <w:sz w:val="20"/>
                <w:szCs w:val="20"/>
                <w:lang w:val="en-US" w:eastAsia="zh-CN"/>
              </w:rPr>
              <w:t>800</w:t>
            </w:r>
            <w:r>
              <w:rPr>
                <w:rFonts w:hint="eastAsia" w:ascii="新宋体" w:hAnsi="新宋体" w:eastAsia="新宋体" w:cs="宋体"/>
                <w:bCs/>
                <w:color w:val="000000"/>
                <w:sz w:val="20"/>
                <w:szCs w:val="20"/>
              </w:rPr>
              <w:t>，亮度：4000流明，对比度2500000：1激光投影</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wordWrap/>
              <w:overflowPunct/>
              <w:topLinePunct w:val="0"/>
              <w:autoSpaceDE/>
              <w:autoSpaceDN/>
              <w:bidi w:val="0"/>
              <w:adjustRightInd/>
              <w:snapToGrid/>
              <w:spacing w:before="80" w:after="80" w:line="240" w:lineRule="auto"/>
              <w:textAlignment w:val="auto"/>
              <w:rPr>
                <w:rFonts w:hint="eastAsia" w:ascii="新宋体" w:hAnsi="新宋体" w:eastAsia="新宋体" w:cs="宋体"/>
                <w:bCs/>
                <w:color w:val="000000"/>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r>
              <w:rPr>
                <w:rFonts w:hint="eastAsia" w:ascii="新宋体" w:hAnsi="新宋体" w:eastAsia="新宋体" w:cs="宋体"/>
                <w:bCs/>
                <w:color w:val="000000"/>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新宋体" w:hAnsi="新宋体" w:eastAsia="新宋体" w:cs="宋体"/>
                <w:bCs/>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szCs w:val="21"/>
              </w:rPr>
            </w:pPr>
            <w:r>
              <w:rPr>
                <w:rFonts w:hint="eastAsia" w:ascii="宋体" w:hAnsi="宋体" w:cs="宋体"/>
                <w:bCs/>
                <w:szCs w:val="21"/>
              </w:rPr>
              <w:t>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教师用工作台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加厚环保密度板，可安装电源（侧面）。原木色桌面、灰色桌腿、边缘需封包。参考尺寸：1400×800×250mm。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教师工作台储物柜</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厚加厚环保密度板，可安装交换机，原木色桌面、灰色桌腿、边缘需封包。参考尺寸：400×600×600mm。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eastAsiaTheme="minorEastAsia"/>
                <w:szCs w:val="21"/>
                <w:lang w:val="en-US" w:eastAsia="zh-CN"/>
              </w:rPr>
            </w:pPr>
            <w:r>
              <w:rPr>
                <w:rFonts w:hint="eastAsia" w:ascii="宋体" w:hAnsi="宋体"/>
                <w:szCs w:val="21"/>
                <w:lang w:val="en-US" w:eastAsia="zh-CN"/>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eastAsiaTheme="minorEastAsia"/>
                <w:szCs w:val="21"/>
                <w:lang w:val="en-US" w:eastAsia="zh-CN"/>
              </w:rPr>
            </w:pPr>
            <w:r>
              <w:rPr>
                <w:rFonts w:hint="eastAsia" w:ascii="宋体" w:hAnsi="宋体"/>
                <w:szCs w:val="21"/>
                <w:lang w:val="en-US" w:eastAsia="zh-CN"/>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szCs w:val="21"/>
              </w:rPr>
            </w:pPr>
            <w:r>
              <w:rPr>
                <w:rFonts w:hint="eastAsia" w:ascii="宋体" w:hAnsi="宋体"/>
                <w:szCs w:val="21"/>
              </w:rPr>
              <w:t>教师用椅子</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人体工程学椅背、高弹力网布椅面、带静音轮、黑色。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lang w:val="en-US" w:eastAsia="zh-CN"/>
              </w:rPr>
              <w:t>学术会议桌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加厚环保密度板，柚木色，桌面预留电源、投影、音频等接口。参考尺寸：3000×1200×50mm。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套</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eastAsiaTheme="minorEastAsia" w:cstheme="minorBidi"/>
                <w:color w:val="auto"/>
                <w:sz w:val="22"/>
                <w:szCs w:val="21"/>
                <w:lang w:val="en-US" w:eastAsia="zh-CN" w:bidi="ar-SA"/>
              </w:rPr>
            </w:pPr>
            <w:r>
              <w:rPr>
                <w:rFonts w:hint="eastAsia" w:ascii="宋体" w:hAnsi="宋体"/>
                <w:color w:val="auto"/>
                <w:szCs w:val="21"/>
                <w:lang w:val="en-US" w:eastAsia="zh-CN"/>
              </w:rPr>
              <w:t>学术会议椅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不锈钢框架，深色布艺座面，环保透气靠背。</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Cs w:val="21"/>
                <w:lang w:val="en-US" w:eastAsia="zh-CN"/>
              </w:rPr>
            </w:pPr>
            <w:r>
              <w:rPr>
                <w:rFonts w:hint="eastAsia" w:ascii="宋体" w:hAnsi="宋体" w:cs="宋体"/>
                <w:bCs/>
                <w:color w:val="000000"/>
                <w:szCs w:val="21"/>
                <w:lang w:val="en-US" w:eastAsia="zh-CN"/>
              </w:rPr>
              <w:t>把</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eastAsiaTheme="minorEastAsia"/>
                <w:szCs w:val="21"/>
                <w:lang w:val="en-US" w:eastAsia="zh-CN"/>
              </w:rPr>
            </w:pPr>
            <w:r>
              <w:rPr>
                <w:rFonts w:hint="eastAsia" w:ascii="宋体"/>
                <w:szCs w:val="21"/>
                <w:lang w:val="en-US" w:eastAsia="zh-CN"/>
              </w:rPr>
              <w:t>14</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default" w:ascii="宋体" w:hAnsi="宋体" w:cs="宋体" w:eastAsiaTheme="minorEastAsia"/>
                <w:b/>
                <w:bCs/>
                <w:color w:val="000000"/>
                <w:szCs w:val="21"/>
                <w:lang w:val="en-US" w:eastAsia="zh-CN"/>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7</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ascii="宋体"/>
                <w:szCs w:val="21"/>
              </w:rPr>
              <w:t>活动白板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rPr>
            </w:pPr>
            <w:r>
              <w:rPr>
                <w:rFonts w:hint="eastAsia" w:ascii="新宋体" w:hAnsi="新宋体" w:eastAsia="新宋体" w:cs="宋体"/>
                <w:bCs/>
                <w:color w:val="000000"/>
                <w:sz w:val="20"/>
                <w:szCs w:val="20"/>
              </w:rPr>
              <w:t>支架式升降、可移动白板,双面磁性</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1</w:t>
            </w:r>
            <w:r>
              <w:rPr>
                <w:rFonts w:hint="eastAsia" w:ascii="新宋体" w:hAnsi="新宋体" w:eastAsia="新宋体" w:cs="宋体"/>
                <w:bCs/>
                <w:color w:val="000000"/>
                <w:sz w:val="20"/>
                <w:szCs w:val="20"/>
                <w:lang w:val="en-US" w:eastAsia="zh-CN"/>
              </w:rPr>
              <w:t>800×900mm。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r>
              <w:rPr>
                <w:rFonts w:hint="eastAsia" w:ascii="宋体" w:hAnsi="宋体" w:cs="宋体"/>
                <w:bCs/>
                <w:color w:val="000000"/>
                <w:szCs w:val="21"/>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szCs w:val="21"/>
                <w:lang w:val="en-US" w:eastAsia="zh-CN"/>
              </w:rPr>
            </w:pPr>
            <w:r>
              <w:rPr>
                <w:rFonts w:hint="eastAsia" w:ascii="宋体" w:hAnsi="宋体" w:cs="宋体"/>
                <w:bCs/>
                <w:szCs w:val="21"/>
                <w:lang w:val="en-US" w:eastAsia="zh-CN"/>
              </w:rPr>
              <w:t>8</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szCs w:val="21"/>
              </w:rPr>
            </w:pPr>
            <w:r>
              <w:rPr>
                <w:rFonts w:hint="eastAsia" w:ascii="宋体" w:hAnsi="宋体"/>
                <w:szCs w:val="21"/>
              </w:rPr>
              <w:t>空调</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lang w:val="en-US" w:eastAsia="zh-CN"/>
              </w:rPr>
            </w:pPr>
            <w:r>
              <w:rPr>
                <w:rFonts w:hint="eastAsia" w:ascii="新宋体" w:hAnsi="新宋体" w:eastAsia="新宋体" w:cs="宋体"/>
                <w:bCs/>
                <w:color w:val="000000"/>
                <w:sz w:val="20"/>
                <w:szCs w:val="20"/>
                <w:lang w:val="en-US" w:eastAsia="zh-CN"/>
              </w:rPr>
              <w:t>3P</w:t>
            </w:r>
          </w:p>
        </w:tc>
        <w:tc>
          <w:tcPr>
            <w:tcW w:w="1017" w:type="dxa"/>
            <w:vAlign w:val="center"/>
          </w:tcPr>
          <w:p>
            <w:pPr>
              <w:keepNext w:val="0"/>
              <w:keepLines w:val="0"/>
              <w:pageBreakBefore w:val="0"/>
              <w:widowControl/>
              <w:kinsoku/>
              <w:wordWrap w:val="0"/>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
                <w:bCs/>
                <w:color w:val="000000"/>
                <w:szCs w:val="21"/>
              </w:rPr>
            </w:pPr>
            <w:r>
              <w:rPr>
                <w:rFonts w:hint="eastAsia" w:ascii="宋体" w:hAnsi="宋体"/>
                <w:szCs w:val="21"/>
              </w:rPr>
              <w:t>台</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szCs w:val="21"/>
              </w:rPr>
            </w:pPr>
            <w:r>
              <w:rPr>
                <w:rFonts w:hint="eastAsia" w:ascii="宋体" w:hAnsi="宋体"/>
                <w:szCs w:val="21"/>
              </w:rPr>
              <w:t>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rPr>
            </w:pPr>
            <w:r>
              <w:rPr>
                <w:rFonts w:hint="eastAsia" w:ascii="宋体" w:hAnsi="宋体" w:cs="宋体"/>
                <w:bCs/>
                <w:color w:val="000000"/>
                <w:szCs w:val="21"/>
              </w:rPr>
              <w:t>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9</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学生座椅</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玻纤加厚一体成形，牛角椅，灰色。</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r>
              <w:rPr>
                <w:rFonts w:hint="eastAsia" w:ascii="新宋体" w:hAnsi="新宋体" w:eastAsia="新宋体" w:cs="宋体"/>
                <w:bCs/>
                <w:sz w:val="20"/>
                <w:szCs w:val="20"/>
              </w:rPr>
              <w:t>490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10</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单人桌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桌面浅胡桃色、桌架白色、带抽屉</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lang w:val="en-US" w:eastAsia="zh-CN"/>
              </w:rPr>
              <w:t>参考尺寸：</w:t>
            </w:r>
            <w:r>
              <w:rPr>
                <w:rFonts w:hint="eastAsia" w:ascii="新宋体" w:hAnsi="新宋体" w:eastAsia="新宋体" w:cs="宋体"/>
                <w:bCs/>
                <w:color w:val="000000"/>
                <w:sz w:val="20"/>
                <w:szCs w:val="20"/>
              </w:rPr>
              <w:t>800</w:t>
            </w:r>
            <w:r>
              <w:rPr>
                <w:rFonts w:hint="eastAsia" w:ascii="新宋体" w:hAnsi="新宋体" w:eastAsia="新宋体" w:cs="宋体"/>
                <w:bCs/>
                <w:color w:val="000000"/>
                <w:sz w:val="20"/>
                <w:szCs w:val="20"/>
                <w:lang w:val="en-US" w:eastAsia="zh-CN"/>
              </w:rPr>
              <w:t>×5</w:t>
            </w:r>
            <w:r>
              <w:rPr>
                <w:rFonts w:hint="eastAsia" w:ascii="新宋体" w:hAnsi="新宋体" w:eastAsia="新宋体" w:cs="宋体"/>
                <w:bCs/>
                <w:color w:val="000000"/>
                <w:sz w:val="20"/>
                <w:szCs w:val="20"/>
              </w:rPr>
              <w:t>00</w:t>
            </w:r>
            <w:r>
              <w:rPr>
                <w:rFonts w:hint="eastAsia" w:ascii="新宋体" w:hAnsi="新宋体" w:eastAsia="新宋体" w:cs="宋体"/>
                <w:bCs/>
                <w:color w:val="000000"/>
                <w:sz w:val="20"/>
                <w:szCs w:val="20"/>
                <w:lang w:val="en-US" w:eastAsia="zh-CN"/>
              </w:rPr>
              <w:t>×</w:t>
            </w:r>
            <w:r>
              <w:rPr>
                <w:rFonts w:hint="eastAsia" w:ascii="新宋体" w:hAnsi="新宋体" w:eastAsia="新宋体" w:cs="宋体"/>
                <w:bCs/>
                <w:color w:val="000000"/>
                <w:sz w:val="20"/>
                <w:szCs w:val="20"/>
              </w:rPr>
              <w:t>740</w:t>
            </w:r>
            <w:r>
              <w:rPr>
                <w:rFonts w:hint="eastAsia" w:ascii="新宋体" w:hAnsi="新宋体" w:eastAsia="新宋体" w:cs="宋体"/>
                <w:bCs/>
                <w:color w:val="000000"/>
                <w:sz w:val="20"/>
                <w:szCs w:val="20"/>
                <w:lang w:val="en-US" w:eastAsia="zh-CN"/>
              </w:rPr>
              <w:t>mm</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420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highlight w:val="none"/>
                <w:lang w:eastAsia="zh-CN"/>
              </w:rPr>
            </w:pPr>
            <w:r>
              <w:rPr>
                <w:rFonts w:hint="eastAsia" w:ascii="宋体" w:hAnsi="宋体" w:cs="宋体"/>
                <w:bCs/>
                <w:color w:val="000000"/>
                <w:sz w:val="20"/>
                <w:szCs w:val="20"/>
                <w:highlight w:val="none"/>
              </w:rPr>
              <w:t>1</w:t>
            </w:r>
            <w:r>
              <w:rPr>
                <w:rFonts w:hint="eastAsia" w:ascii="宋体" w:hAnsi="宋体" w:cs="宋体"/>
                <w:bCs/>
                <w:color w:val="000000"/>
                <w:sz w:val="20"/>
                <w:szCs w:val="20"/>
                <w:highlight w:val="none"/>
                <w:lang w:val="en-US" w:eastAsia="zh-CN"/>
              </w:rPr>
              <w:t>1</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 w:val="20"/>
                <w:szCs w:val="20"/>
                <w:highlight w:val="none"/>
              </w:rPr>
            </w:pPr>
            <w:r>
              <w:rPr>
                <w:rFonts w:hint="eastAsia" w:ascii="新宋体" w:hAnsi="新宋体" w:eastAsia="新宋体" w:cs="宋体"/>
                <w:bCs/>
                <w:color w:val="000000"/>
                <w:sz w:val="20"/>
                <w:szCs w:val="20"/>
                <w:highlight w:val="none"/>
              </w:rPr>
              <w:t>钢化玻璃绘图桌</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default" w:ascii="新宋体" w:hAnsi="新宋体" w:eastAsia="新宋体" w:cs="宋体"/>
                <w:bCs/>
                <w:color w:val="000000"/>
                <w:sz w:val="20"/>
                <w:szCs w:val="20"/>
                <w:highlight w:val="none"/>
                <w:lang w:val="en-US" w:eastAsia="zh-CN"/>
              </w:rPr>
            </w:pPr>
            <w:r>
              <w:rPr>
                <w:rFonts w:hint="eastAsia" w:ascii="新宋体" w:hAnsi="新宋体" w:eastAsia="新宋体" w:cs="宋体"/>
                <w:bCs/>
                <w:color w:val="000000"/>
                <w:sz w:val="20"/>
                <w:szCs w:val="20"/>
                <w:highlight w:val="none"/>
              </w:rPr>
              <w:t>五档桌面调节</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钢化玻璃面板</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六档高度可调</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左右拉伸副板</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rPr>
              <w:t>带可折叠绘图灯</w:t>
            </w:r>
            <w:r>
              <w:rPr>
                <w:rFonts w:hint="eastAsia" w:ascii="新宋体" w:hAnsi="新宋体" w:eastAsia="新宋体" w:cs="宋体"/>
                <w:bCs/>
                <w:color w:val="000000"/>
                <w:sz w:val="20"/>
                <w:szCs w:val="20"/>
                <w:highlight w:val="none"/>
                <w:lang w:eastAsia="zh-CN"/>
              </w:rPr>
              <w:t>。</w:t>
            </w:r>
            <w:r>
              <w:rPr>
                <w:rFonts w:hint="eastAsia" w:ascii="新宋体" w:hAnsi="新宋体" w:eastAsia="新宋体" w:cs="宋体"/>
                <w:bCs/>
                <w:color w:val="000000"/>
                <w:sz w:val="20"/>
                <w:szCs w:val="20"/>
                <w:highlight w:val="none"/>
                <w:lang w:val="en-US" w:eastAsia="zh-CN"/>
              </w:rPr>
              <w:t>参考尺寸：</w:t>
            </w:r>
            <w:r>
              <w:rPr>
                <w:rFonts w:hint="eastAsia" w:ascii="新宋体" w:hAnsi="新宋体" w:eastAsia="新宋体" w:cs="宋体"/>
                <w:bCs/>
                <w:color w:val="000000"/>
                <w:sz w:val="20"/>
                <w:szCs w:val="20"/>
                <w:highlight w:val="none"/>
              </w:rPr>
              <w:t>1190</w:t>
            </w:r>
            <w:r>
              <w:rPr>
                <w:rFonts w:hint="eastAsia" w:ascii="新宋体" w:hAnsi="新宋体" w:eastAsia="新宋体" w:cs="宋体"/>
                <w:bCs/>
                <w:color w:val="000000"/>
                <w:sz w:val="20"/>
                <w:szCs w:val="20"/>
                <w:highlight w:val="none"/>
                <w:lang w:val="en-US" w:eastAsia="zh-CN"/>
              </w:rPr>
              <w:t>×</w:t>
            </w:r>
            <w:r>
              <w:rPr>
                <w:rFonts w:hint="eastAsia" w:ascii="新宋体" w:hAnsi="新宋体" w:eastAsia="新宋体" w:cs="宋体"/>
                <w:bCs/>
                <w:color w:val="000000"/>
                <w:sz w:val="20"/>
                <w:szCs w:val="20"/>
                <w:highlight w:val="none"/>
              </w:rPr>
              <w:t>600</w:t>
            </w:r>
            <w:r>
              <w:rPr>
                <w:rFonts w:hint="eastAsia" w:ascii="新宋体" w:hAnsi="新宋体" w:eastAsia="新宋体" w:cs="宋体"/>
                <w:bCs/>
                <w:color w:val="000000"/>
                <w:sz w:val="20"/>
                <w:szCs w:val="20"/>
                <w:highlight w:val="none"/>
                <w:lang w:val="en-US" w:eastAsia="zh-CN"/>
              </w:rPr>
              <w:t>×（</w:t>
            </w:r>
            <w:r>
              <w:rPr>
                <w:rFonts w:hint="eastAsia" w:ascii="新宋体" w:hAnsi="新宋体" w:eastAsia="新宋体" w:cs="宋体"/>
                <w:bCs/>
                <w:color w:val="000000"/>
                <w:sz w:val="20"/>
                <w:szCs w:val="20"/>
                <w:highlight w:val="none"/>
              </w:rPr>
              <w:t>780-930</w:t>
            </w:r>
            <w:r>
              <w:rPr>
                <w:rFonts w:hint="eastAsia" w:ascii="新宋体" w:hAnsi="新宋体" w:eastAsia="新宋体" w:cs="宋体"/>
                <w:bCs/>
                <w:color w:val="000000"/>
                <w:sz w:val="20"/>
                <w:szCs w:val="20"/>
                <w:highlight w:val="none"/>
                <w:lang w:val="en-US" w:eastAsia="zh-CN"/>
              </w:rPr>
              <w:t>）mm。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highlight w:val="none"/>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highlight w:val="none"/>
              </w:rPr>
            </w:pPr>
            <w:r>
              <w:rPr>
                <w:rFonts w:hint="eastAsia" w:ascii="新宋体" w:hAnsi="新宋体" w:eastAsia="新宋体" w:cs="宋体"/>
                <w:bCs/>
                <w:color w:val="000000"/>
                <w:sz w:val="20"/>
                <w:szCs w:val="20"/>
                <w:highlight w:val="none"/>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新宋体" w:hAnsi="新宋体" w:eastAsia="新宋体" w:cs="宋体"/>
                <w:bCs/>
                <w:color w:val="000000"/>
                <w:sz w:val="20"/>
                <w:szCs w:val="20"/>
                <w:highlight w:val="none"/>
                <w:lang w:val="en-US" w:eastAsia="zh-CN"/>
              </w:rPr>
            </w:pPr>
            <w:r>
              <w:rPr>
                <w:rFonts w:hint="eastAsia" w:ascii="新宋体" w:hAnsi="新宋体" w:eastAsia="新宋体" w:cs="宋体"/>
                <w:bCs/>
                <w:color w:val="000000"/>
                <w:sz w:val="20"/>
                <w:szCs w:val="20"/>
                <w:highlight w:val="none"/>
                <w:lang w:val="en-US" w:eastAsia="zh-CN"/>
              </w:rPr>
              <w:t>60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 w:val="20"/>
                <w:szCs w:val="20"/>
                <w:highlight w:val="none"/>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color w:val="000000"/>
                <w:sz w:val="20"/>
                <w:szCs w:val="20"/>
                <w:highlight w:val="none"/>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Cs/>
                <w:color w:val="000000"/>
                <w:szCs w:val="21"/>
                <w:highlight w:val="none"/>
              </w:rPr>
            </w:pPr>
            <w:r>
              <w:rPr>
                <w:rFonts w:hint="eastAsia" w:ascii="宋体" w:hAnsi="宋体" w:cs="宋体"/>
                <w:b w:val="0"/>
                <w:bCs w:val="0"/>
                <w:color w:val="000000"/>
                <w:szCs w:val="21"/>
                <w:highlight w:val="none"/>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default" w:ascii="宋体" w:hAnsi="宋体" w:cs="宋体" w:eastAsiaTheme="minorEastAsia"/>
                <w:bCs/>
                <w:color w:val="000000"/>
                <w:sz w:val="20"/>
                <w:szCs w:val="20"/>
                <w:lang w:val="en-US" w:eastAsia="zh-CN"/>
              </w:rPr>
            </w:pPr>
            <w:r>
              <w:rPr>
                <w:rFonts w:hint="eastAsia" w:ascii="宋体" w:hAnsi="宋体" w:cs="宋体"/>
                <w:bCs/>
                <w:color w:val="000000"/>
                <w:sz w:val="20"/>
                <w:szCs w:val="20"/>
                <w:lang w:val="en-US" w:eastAsia="zh-CN"/>
              </w:rPr>
              <w:t>12</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ascii="宋体" w:hAnsi="宋体"/>
                <w:szCs w:val="21"/>
              </w:rPr>
            </w:pPr>
            <w:r>
              <w:rPr>
                <w:rFonts w:hint="eastAsia" w:ascii="新宋体" w:hAnsi="新宋体" w:eastAsia="新宋体" w:cs="宋体"/>
                <w:bCs/>
                <w:sz w:val="20"/>
                <w:szCs w:val="20"/>
              </w:rPr>
              <w:t>创意工作台</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加厚环保密度板，原木色桌面、灰色桌腿。可安装电源与网络接口（桌面中间），参考尺寸：2400×120×25mm。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sz w:val="20"/>
                <w:szCs w:val="20"/>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新宋体" w:hAnsi="新宋体" w:eastAsia="新宋体" w:cs="宋体"/>
                <w:bCs/>
                <w:sz w:val="20"/>
                <w:szCs w:val="20"/>
              </w:rPr>
              <w:t>个</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ascii="宋体" w:hAnsi="宋体"/>
                <w:szCs w:val="21"/>
              </w:rPr>
            </w:pPr>
            <w:r>
              <w:rPr>
                <w:rFonts w:hint="eastAsia" w:ascii="新宋体" w:hAnsi="新宋体" w:eastAsia="新宋体" w:cs="宋体"/>
                <w:bCs/>
                <w:sz w:val="20"/>
                <w:szCs w:val="20"/>
              </w:rPr>
              <w:t>12</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hAnsi="宋体" w:cs="宋体"/>
                <w:b/>
                <w:bCs/>
                <w:color w:val="000000"/>
                <w:szCs w:val="21"/>
              </w:rPr>
            </w:pPr>
            <w:r>
              <w:rPr>
                <w:rFonts w:hint="eastAsia" w:ascii="宋体" w:hAnsi="宋体" w:cs="宋体"/>
                <w:b w:val="0"/>
                <w:bCs w:val="0"/>
                <w:color w:val="000000"/>
                <w:szCs w:val="21"/>
                <w:lang w:val="en-US" w:eastAsia="zh-CN"/>
              </w:rPr>
              <w:t>提供样品图片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3</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大桌板</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rPr>
              <w:t>免漆板包边（浅胡桃木色）</w:t>
            </w:r>
            <w:r>
              <w:rPr>
                <w:rFonts w:hint="eastAsia" w:ascii="新宋体" w:hAnsi="新宋体" w:eastAsia="新宋体" w:cs="宋体"/>
                <w:bCs/>
                <w:color w:val="000000"/>
                <w:sz w:val="20"/>
                <w:szCs w:val="20"/>
                <w:lang w:val="en-US" w:eastAsia="zh-CN"/>
              </w:rPr>
              <w:t>2400×1200mm。</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张</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90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color w:val="000000"/>
                <w:sz w:val="20"/>
                <w:szCs w:val="20"/>
              </w:rPr>
            </w:pPr>
            <w:r>
              <w:rPr>
                <w:rFonts w:hint="eastAsia" w:ascii="宋体" w:hAnsi="宋体" w:cs="宋体"/>
                <w:bCs/>
                <w:color w:val="000000"/>
                <w:szCs w:val="21"/>
                <w:lang w:val="en-US" w:eastAsia="zh-CN"/>
              </w:rPr>
              <w:t>提供板材样品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lang w:eastAsia="zh-CN"/>
              </w:rPr>
            </w:pPr>
            <w:r>
              <w:rPr>
                <w:rFonts w:hint="eastAsia" w:ascii="新宋体" w:hAnsi="新宋体" w:eastAsia="新宋体" w:cs="宋体"/>
                <w:bCs/>
                <w:color w:val="000000"/>
                <w:szCs w:val="21"/>
              </w:rPr>
              <w:t>1</w:t>
            </w:r>
            <w:r>
              <w:rPr>
                <w:rFonts w:hint="eastAsia" w:ascii="新宋体" w:hAnsi="新宋体" w:eastAsia="新宋体" w:cs="宋体"/>
                <w:bCs/>
                <w:color w:val="000000"/>
                <w:szCs w:val="21"/>
                <w:lang w:val="en-US" w:eastAsia="zh-CN"/>
              </w:rPr>
              <w:t>4</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窗帘</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lang w:eastAsia="zh-CN"/>
              </w:rPr>
            </w:pPr>
            <w:r>
              <w:rPr>
                <w:rFonts w:hint="eastAsia" w:ascii="新宋体" w:hAnsi="新宋体" w:eastAsia="新宋体" w:cs="宋体"/>
                <w:bCs/>
                <w:color w:val="000000"/>
                <w:sz w:val="20"/>
                <w:szCs w:val="20"/>
              </w:rPr>
              <w:t>具体尺寸以现场测量为准</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滑轨方式</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按1：1.5制作窗帘褶皱</w:t>
            </w:r>
            <w:r>
              <w:rPr>
                <w:rFonts w:hint="eastAsia" w:ascii="新宋体" w:hAnsi="新宋体" w:eastAsia="新宋体" w:cs="宋体"/>
                <w:bCs/>
                <w:color w:val="000000"/>
                <w:sz w:val="20"/>
                <w:szCs w:val="20"/>
                <w:lang w:eastAsia="zh-CN"/>
              </w:rPr>
              <w:t>，</w:t>
            </w:r>
            <w:r>
              <w:rPr>
                <w:rFonts w:hint="eastAsia" w:ascii="新宋体" w:hAnsi="新宋体" w:eastAsia="新宋体" w:cs="宋体"/>
                <w:bCs/>
                <w:color w:val="000000"/>
                <w:sz w:val="20"/>
                <w:szCs w:val="20"/>
              </w:rPr>
              <w:t>颜色可选，布料要求防晒、遮光。耐摩擦色牢度：干摩≥4级，湿摩≥4级；耐光色牢度≥5级；厚度0.6-0.7mm;透气率：55-60mm/s</w:t>
            </w:r>
            <w:r>
              <w:rPr>
                <w:rFonts w:hint="eastAsia" w:ascii="新宋体" w:hAnsi="新宋体" w:eastAsia="新宋体" w:cs="宋体"/>
                <w:bCs/>
                <w:color w:val="000000"/>
                <w:sz w:val="20"/>
                <w:szCs w:val="20"/>
                <w:lang w:eastAsia="zh-CN"/>
              </w:rPr>
              <w:t>。</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15</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both"/>
              <w:textAlignment w:val="auto"/>
              <w:rPr>
                <w:rFonts w:hint="eastAsia" w:ascii="新宋体" w:hAnsi="新宋体" w:eastAsia="新宋体" w:cs="宋体"/>
                <w:bCs/>
                <w:color w:val="000000"/>
                <w:szCs w:val="21"/>
              </w:rPr>
            </w:pPr>
          </w:p>
        </w:tc>
        <w:tc>
          <w:tcPr>
            <w:tcW w:w="1179"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both"/>
              <w:textAlignment w:val="auto"/>
              <w:rPr>
                <w:rFonts w:hint="eastAsia" w:ascii="新宋体" w:hAnsi="新宋体" w:eastAsia="新宋体" w:cs="宋体"/>
                <w:bCs/>
                <w:color w:val="000000"/>
                <w:szCs w:val="21"/>
              </w:rPr>
            </w:pPr>
            <w:r>
              <w:rPr>
                <w:rFonts w:hint="eastAsia" w:ascii="宋体" w:hAnsi="宋体" w:cs="宋体"/>
                <w:bCs/>
                <w:color w:val="000000"/>
                <w:szCs w:val="21"/>
                <w:lang w:val="en-US" w:eastAsia="zh-CN"/>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eastAsiaTheme="minorEastAsia"/>
                <w:bCs/>
                <w:color w:val="000000"/>
                <w:sz w:val="20"/>
                <w:szCs w:val="20"/>
                <w:lang w:eastAsia="zh-CN"/>
              </w:rPr>
            </w:pPr>
            <w:r>
              <w:rPr>
                <w:rFonts w:hint="eastAsia" w:ascii="宋体" w:hAnsi="宋体" w:cs="宋体"/>
                <w:bCs/>
                <w:color w:val="000000"/>
                <w:sz w:val="20"/>
                <w:szCs w:val="20"/>
              </w:rPr>
              <w:t>1</w:t>
            </w:r>
            <w:r>
              <w:rPr>
                <w:rFonts w:hint="eastAsia" w:ascii="宋体" w:hAnsi="宋体" w:cs="宋体"/>
                <w:bCs/>
                <w:color w:val="000000"/>
                <w:sz w:val="20"/>
                <w:szCs w:val="20"/>
                <w:lang w:val="en-US" w:eastAsia="zh-CN"/>
              </w:rPr>
              <w:t>5</w:t>
            </w:r>
          </w:p>
        </w:tc>
        <w:tc>
          <w:tcPr>
            <w:tcW w:w="201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jc w:val="center"/>
              <w:textAlignment w:val="auto"/>
              <w:rPr>
                <w:rFonts w:hint="eastAsia" w:ascii="宋体"/>
                <w:szCs w:val="21"/>
              </w:rPr>
            </w:pPr>
            <w:r>
              <w:rPr>
                <w:rFonts w:hint="eastAsia" w:ascii="宋体"/>
                <w:szCs w:val="21"/>
              </w:rPr>
              <w:t>其他</w:t>
            </w:r>
          </w:p>
        </w:tc>
        <w:tc>
          <w:tcPr>
            <w:tcW w:w="4482" w:type="dxa"/>
            <w:vAlign w:val="center"/>
          </w:tcPr>
          <w:p>
            <w:pPr>
              <w:keepNext w:val="0"/>
              <w:keepLines w:val="0"/>
              <w:pageBreakBefore w:val="0"/>
              <w:widowControl/>
              <w:kinsoku/>
              <w:wordWrap/>
              <w:overflowPunct/>
              <w:topLinePunct w:val="0"/>
              <w:autoSpaceDE/>
              <w:autoSpaceDN/>
              <w:bidi w:val="0"/>
              <w:adjustRightInd/>
              <w:snapToGrid/>
              <w:spacing w:before="80" w:after="80" w:line="240" w:lineRule="exact"/>
              <w:textAlignment w:val="auto"/>
              <w:rPr>
                <w:rFonts w:hint="eastAsia" w:ascii="新宋体" w:hAnsi="新宋体" w:eastAsia="新宋体" w:cs="宋体"/>
                <w:bCs/>
                <w:color w:val="000000"/>
                <w:sz w:val="20"/>
                <w:szCs w:val="20"/>
              </w:rPr>
            </w:pPr>
            <w:r>
              <w:rPr>
                <w:rFonts w:hint="eastAsia" w:ascii="新宋体" w:hAnsi="新宋体" w:eastAsia="新宋体" w:cs="宋体"/>
                <w:bCs/>
                <w:color w:val="000000"/>
                <w:sz w:val="20"/>
                <w:szCs w:val="20"/>
                <w:lang w:val="en-US" w:eastAsia="zh-CN"/>
              </w:rPr>
              <w:t>材料转运、</w:t>
            </w:r>
            <w:r>
              <w:rPr>
                <w:rFonts w:hint="eastAsia" w:ascii="新宋体" w:hAnsi="新宋体" w:eastAsia="新宋体" w:cs="宋体"/>
                <w:bCs/>
                <w:color w:val="000000"/>
                <w:sz w:val="20"/>
                <w:szCs w:val="20"/>
              </w:rPr>
              <w:t>清洁、除渣、搬运等</w:t>
            </w: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p>
        </w:tc>
        <w:tc>
          <w:tcPr>
            <w:tcW w:w="101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新宋体" w:hAnsi="新宋体" w:eastAsia="新宋体" w:cs="宋体"/>
                <w:bCs/>
                <w:color w:val="000000"/>
                <w:szCs w:val="21"/>
              </w:rPr>
            </w:pPr>
            <w:r>
              <w:rPr>
                <w:rFonts w:hint="eastAsia" w:ascii="新宋体" w:hAnsi="新宋体" w:eastAsia="新宋体" w:cs="宋体"/>
                <w:bCs/>
                <w:color w:val="000000"/>
                <w:szCs w:val="21"/>
              </w:rPr>
              <w:t>间</w:t>
            </w:r>
          </w:p>
        </w:tc>
        <w:tc>
          <w:tcPr>
            <w:tcW w:w="1035"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r>
              <w:rPr>
                <w:rFonts w:hint="eastAsia" w:ascii="宋体" w:hAnsi="宋体"/>
                <w:szCs w:val="21"/>
              </w:rPr>
              <w:t>20</w:t>
            </w:r>
          </w:p>
        </w:tc>
        <w:tc>
          <w:tcPr>
            <w:tcW w:w="1197"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szCs w:val="21"/>
              </w:rPr>
            </w:pPr>
          </w:p>
        </w:tc>
        <w:tc>
          <w:tcPr>
            <w:tcW w:w="1242"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szCs w:val="21"/>
              </w:rPr>
            </w:pPr>
          </w:p>
        </w:tc>
        <w:tc>
          <w:tcPr>
            <w:tcW w:w="1179" w:type="dxa"/>
            <w:vAlign w:val="center"/>
          </w:tcPr>
          <w:p>
            <w:pPr>
              <w:keepNext w:val="0"/>
              <w:keepLines w:val="0"/>
              <w:pageBreakBefore w:val="0"/>
              <w:widowControl/>
              <w:kinsoku/>
              <w:overflowPunct/>
              <w:topLinePunct w:val="0"/>
              <w:autoSpaceDE/>
              <w:autoSpaceDN/>
              <w:bidi w:val="0"/>
              <w:adjustRightInd/>
              <w:snapToGrid/>
              <w:spacing w:before="80" w:after="80"/>
              <w:jc w:val="center"/>
              <w:textAlignment w:val="auto"/>
              <w:rPr>
                <w:rFonts w:hint="eastAsia" w:ascii="宋体" w:hAnsi="宋体" w:cs="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3885" w:type="dxa"/>
            <w:gridSpan w:val="9"/>
            <w:vAlign w:val="center"/>
          </w:tcPr>
          <w:p>
            <w:pPr>
              <w:keepNext w:val="0"/>
              <w:keepLines w:val="0"/>
              <w:pageBreakBefore w:val="0"/>
              <w:widowControl/>
              <w:kinsoku/>
              <w:wordWrap/>
              <w:overflowPunct/>
              <w:topLinePunct w:val="0"/>
              <w:autoSpaceDE/>
              <w:autoSpaceDN/>
              <w:bidi w:val="0"/>
              <w:adjustRightInd/>
              <w:snapToGrid/>
              <w:spacing w:before="80" w:after="80" w:line="240" w:lineRule="auto"/>
              <w:jc w:val="center"/>
              <w:textAlignment w:val="auto"/>
              <w:rPr>
                <w:rFonts w:hint="default" w:ascii="新宋体" w:hAnsi="新宋体" w:eastAsia="新宋体" w:cs="宋体"/>
                <w:b/>
                <w:bCs/>
                <w:color w:val="000000"/>
                <w:sz w:val="20"/>
                <w:szCs w:val="20"/>
                <w:lang w:val="en-US" w:eastAsia="zh-CN"/>
              </w:rPr>
            </w:pPr>
            <w:r>
              <w:rPr>
                <w:rFonts w:hint="eastAsia" w:ascii="新宋体" w:hAnsi="新宋体" w:eastAsia="新宋体" w:cs="宋体"/>
                <w:b/>
                <w:bCs/>
                <w:color w:val="000000"/>
                <w:sz w:val="20"/>
                <w:szCs w:val="20"/>
                <w:lang w:val="en-US" w:eastAsia="zh-CN"/>
              </w:rPr>
              <w:t xml:space="preserve">合计：大写           小写        </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rPr>
          <w:rFonts w:ascii="仿宋" w:hAnsi="仿宋" w:eastAsia="仿宋"/>
          <w:sz w:val="24"/>
          <w:szCs w:val="24"/>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2"/>
        <w:rPr>
          <w:rFonts w:ascii="仿宋" w:hAnsi="仿宋" w:eastAsia="仿宋"/>
          <w:szCs w:val="28"/>
        </w:rPr>
      </w:pPr>
    </w:p>
    <w:p>
      <w:pPr>
        <w:spacing w:line="380" w:lineRule="exact"/>
        <w:jc w:val="center"/>
        <w:outlineLvl w:val="2"/>
        <w:rPr>
          <w:rFonts w:ascii="仿宋" w:hAnsi="仿宋" w:eastAsia="仿宋"/>
          <w:b/>
          <w:sz w:val="28"/>
          <w:szCs w:val="28"/>
        </w:rPr>
      </w:pPr>
      <w:bookmarkStart w:id="188" w:name="_Toc267060077"/>
      <w:bookmarkStart w:id="189" w:name="_Toc259520875"/>
      <w:bookmarkStart w:id="190" w:name="_Toc266870442"/>
      <w:bookmarkStart w:id="191" w:name="_Toc266870917"/>
      <w:bookmarkStart w:id="192" w:name="_Toc235437999"/>
      <w:bookmarkStart w:id="193" w:name="_Toc230071154"/>
      <w:bookmarkStart w:id="194" w:name="_Toc254790910"/>
      <w:bookmarkStart w:id="195" w:name="_Toc223146615"/>
      <w:bookmarkStart w:id="196" w:name="_Toc253066625"/>
      <w:bookmarkStart w:id="197" w:name="_Toc267060217"/>
      <w:bookmarkStart w:id="198" w:name="_Toc255975017"/>
      <w:bookmarkStart w:id="199" w:name="_Toc251613840"/>
      <w:bookmarkStart w:id="200" w:name="_Toc251586242"/>
      <w:bookmarkStart w:id="201" w:name="_Toc266868680"/>
      <w:bookmarkStart w:id="202" w:name="_Toc259692657"/>
      <w:bookmarkStart w:id="203" w:name="_Toc249325721"/>
      <w:bookmarkStart w:id="204" w:name="_Toc219800250"/>
      <w:bookmarkStart w:id="205" w:name="_Toc267060462"/>
      <w:bookmarkStart w:id="206" w:name="_Toc236021458"/>
      <w:bookmarkStart w:id="207" w:name="_Toc259692750"/>
      <w:bookmarkStart w:id="208" w:name="_Toc235438353"/>
      <w:bookmarkStart w:id="209" w:name="_Toc227058537"/>
      <w:bookmarkStart w:id="210" w:name="_Toc217891409"/>
      <w:bookmarkStart w:id="211" w:name="_Toc258401266"/>
      <w:bookmarkStart w:id="212" w:name="_Toc232302123"/>
      <w:bookmarkStart w:id="213" w:name="_Toc213756058"/>
      <w:bookmarkStart w:id="214" w:name="_Toc235438282"/>
      <w:bookmarkStart w:id="215" w:name="_Toc225669329"/>
      <w:r>
        <w:rPr>
          <w:rFonts w:ascii="仿宋" w:hAnsi="仿宋" w:eastAsia="仿宋"/>
          <w:b/>
          <w:sz w:val="28"/>
          <w:szCs w:val="28"/>
        </w:rPr>
        <w:t>3</w:t>
      </w:r>
      <w:r>
        <w:rPr>
          <w:rFonts w:hint="eastAsia" w:ascii="仿宋" w:hAnsi="仿宋" w:eastAsia="仿宋"/>
          <w:b/>
          <w:sz w:val="28"/>
          <w:szCs w:val="28"/>
        </w:rPr>
        <w:t>-1关于资格的声明函</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hint="eastAsia" w:ascii="仿宋" w:hAnsi="仿宋" w:eastAsia="仿宋"/>
          <w:b/>
          <w:sz w:val="28"/>
          <w:szCs w:val="28"/>
        </w:rPr>
        <w:cr/>
      </w:r>
    </w:p>
    <w:p>
      <w:pPr>
        <w:spacing w:after="0" w:line="500" w:lineRule="exact"/>
        <w:rPr>
          <w:rFonts w:ascii="仿宋" w:hAnsi="仿宋" w:eastAsia="仿宋"/>
          <w:sz w:val="28"/>
          <w:szCs w:val="28"/>
        </w:rPr>
      </w:pPr>
      <w:bookmarkStart w:id="216" w:name="_Hlk511663739"/>
      <w:r>
        <w:rPr>
          <w:rFonts w:hint="eastAsia" w:ascii="仿宋" w:hAnsi="仿宋" w:eastAsia="仿宋"/>
          <w:sz w:val="28"/>
          <w:szCs w:val="28"/>
        </w:rPr>
        <w:t>重庆外语外事学院：</w:t>
      </w:r>
      <w:bookmarkEnd w:id="216"/>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7" w:name="_Toc219800251"/>
      <w:bookmarkStart w:id="218" w:name="_Toc223146616"/>
      <w:bookmarkStart w:id="219" w:name="_Toc266868681"/>
      <w:bookmarkStart w:id="220" w:name="_Toc227058538"/>
      <w:bookmarkStart w:id="221" w:name="_Toc254790911"/>
      <w:bookmarkStart w:id="222" w:name="_Toc225669330"/>
      <w:bookmarkStart w:id="223" w:name="_Toc232302124"/>
      <w:bookmarkStart w:id="224" w:name="_Toc251586243"/>
      <w:bookmarkStart w:id="225" w:name="_Toc217891410"/>
      <w:bookmarkStart w:id="226" w:name="_Toc230071155"/>
      <w:bookmarkStart w:id="227" w:name="_Toc258401267"/>
      <w:bookmarkStart w:id="228" w:name="_Toc266870443"/>
      <w:bookmarkStart w:id="229" w:name="_Toc255975018"/>
      <w:bookmarkStart w:id="230" w:name="_Toc259692751"/>
      <w:bookmarkStart w:id="231" w:name="_Toc251613841"/>
      <w:bookmarkStart w:id="232" w:name="_Toc259520876"/>
      <w:bookmarkStart w:id="233" w:name="_Toc249325722"/>
      <w:bookmarkStart w:id="234" w:name="_Toc253066626"/>
      <w:bookmarkStart w:id="235" w:name="_Toc236021459"/>
      <w:bookmarkStart w:id="236" w:name="_Toc235438000"/>
      <w:bookmarkStart w:id="237" w:name="_Toc213756059"/>
      <w:bookmarkStart w:id="238" w:name="_Toc266870918"/>
      <w:bookmarkStart w:id="239" w:name="_Toc235438354"/>
      <w:bookmarkStart w:id="240" w:name="_Toc259692658"/>
      <w:bookmarkStart w:id="241" w:name="_Toc235438283"/>
    </w:p>
    <w:p>
      <w:pPr>
        <w:jc w:val="center"/>
        <w:outlineLvl w:val="1"/>
        <w:rPr>
          <w:rFonts w:ascii="仿宋" w:hAnsi="仿宋" w:eastAsia="仿宋"/>
          <w:b/>
          <w:sz w:val="28"/>
          <w:szCs w:val="28"/>
        </w:rPr>
      </w:pPr>
      <w:r>
        <w:rPr>
          <w:rFonts w:ascii="仿宋" w:hAnsi="仿宋" w:eastAsia="仿宋"/>
          <w:sz w:val="28"/>
          <w:szCs w:val="28"/>
        </w:rPr>
        <w:br w:type="page"/>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2" w:name="_Toc253066629"/>
      <w:bookmarkStart w:id="243" w:name="_Toc192663694"/>
      <w:bookmarkStart w:id="244" w:name="_Toc255975023"/>
      <w:bookmarkStart w:id="245" w:name="_Toc192663843"/>
      <w:bookmarkStart w:id="246" w:name="_Toc191789337"/>
      <w:bookmarkStart w:id="247" w:name="_Toc258401270"/>
      <w:bookmarkStart w:id="248" w:name="_Toc160880537"/>
      <w:bookmarkStart w:id="249" w:name="_Toc259520881"/>
      <w:bookmarkStart w:id="250" w:name="_Toc181436469"/>
      <w:bookmarkStart w:id="251" w:name="_Toc169332846"/>
      <w:bookmarkStart w:id="252" w:name="_Toc203355741"/>
      <w:bookmarkStart w:id="253" w:name="_Toc235438003"/>
      <w:bookmarkStart w:id="254" w:name="_Toc267060220"/>
      <w:bookmarkStart w:id="255" w:name="_Toc191803634"/>
      <w:bookmarkStart w:id="256" w:name="_Toc266868686"/>
      <w:bookmarkStart w:id="257" w:name="_Toc254790916"/>
      <w:bookmarkStart w:id="258" w:name="_Toc254790914"/>
      <w:bookmarkStart w:id="259" w:name="_Toc236021462"/>
      <w:bookmarkStart w:id="260" w:name="_Toc211917124"/>
      <w:bookmarkStart w:id="261" w:name="_Toc180302921"/>
      <w:bookmarkStart w:id="262" w:name="_Toc266870446"/>
      <w:bookmarkStart w:id="263" w:name="_Toc235438286"/>
      <w:bookmarkStart w:id="264" w:name="_Toc182805225"/>
      <w:bookmarkStart w:id="265" w:name="_Toc182372790"/>
      <w:bookmarkStart w:id="266" w:name="_Toc249325725"/>
      <w:bookmarkStart w:id="267" w:name="_Toc259692756"/>
      <w:bookmarkStart w:id="268" w:name="_Toc267060465"/>
      <w:bookmarkStart w:id="269" w:name="_Toc193165742"/>
      <w:bookmarkStart w:id="270" w:name="_Toc232302127"/>
      <w:bookmarkStart w:id="271" w:name="_Toc266868684"/>
      <w:bookmarkStart w:id="272" w:name="_Toc267060081"/>
      <w:bookmarkStart w:id="273" w:name="_Toc259520879"/>
      <w:bookmarkStart w:id="274" w:name="_Toc191783230"/>
      <w:bookmarkStart w:id="275" w:name="_Toc192996454"/>
      <w:bookmarkStart w:id="276" w:name="_Toc267060221"/>
      <w:bookmarkStart w:id="277" w:name="_Toc235438357"/>
      <w:bookmarkStart w:id="278" w:name="_Toc267060466"/>
      <w:bookmarkStart w:id="279" w:name="_Toc266870922"/>
      <w:bookmarkStart w:id="280" w:name="_Toc267060080"/>
      <w:bookmarkStart w:id="281" w:name="_Toc192996346"/>
      <w:bookmarkStart w:id="282" w:name="_Toc259692663"/>
      <w:bookmarkStart w:id="283" w:name="_Toc193160456"/>
      <w:bookmarkStart w:id="284" w:name="_Toc169332957"/>
      <w:bookmarkStart w:id="285" w:name="_Toc191802698"/>
      <w:bookmarkStart w:id="286" w:name="_Toc259692661"/>
      <w:bookmarkStart w:id="287" w:name="_Toc258401272"/>
      <w:bookmarkStart w:id="288" w:name="_Toc251613844"/>
      <w:bookmarkStart w:id="289" w:name="_Toc170798801"/>
      <w:bookmarkStart w:id="290" w:name="_Toc181436573"/>
      <w:bookmarkStart w:id="291" w:name="_Toc192664161"/>
      <w:bookmarkStart w:id="292" w:name="_Toc177985477"/>
      <w:bookmarkStart w:id="293" w:name="_Toc255975021"/>
      <w:bookmarkStart w:id="294" w:name="_Toc259692754"/>
      <w:bookmarkStart w:id="295" w:name="_Toc160880168"/>
      <w:bookmarkStart w:id="296" w:name="_Toc266870447"/>
      <w:bookmarkStart w:id="297" w:name="_Toc251586246"/>
      <w:bookmarkStart w:id="298" w:name="_Toc266870921"/>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Pr>
        <w:spacing w:after="0" w:line="480" w:lineRule="exact"/>
        <w:ind w:firstLine="570"/>
        <w:jc w:val="center"/>
        <w:rPr>
          <w:rFonts w:ascii="仿宋" w:hAnsi="仿宋" w:eastAsia="仿宋"/>
          <w:b/>
          <w:bCs/>
          <w:sz w:val="28"/>
          <w:szCs w:val="28"/>
        </w:rPr>
      </w:pPr>
      <w:bookmarkStart w:id="299" w:name="_Toc258401273"/>
      <w:bookmarkStart w:id="300" w:name="_Toc249325726"/>
      <w:bookmarkStart w:id="301" w:name="_Toc259692664"/>
      <w:bookmarkStart w:id="302" w:name="_Toc235438287"/>
      <w:bookmarkStart w:id="303" w:name="_Toc267059812"/>
      <w:bookmarkStart w:id="304" w:name="_Toc253066630"/>
      <w:bookmarkStart w:id="305" w:name="_Toc235438358"/>
      <w:bookmarkStart w:id="306" w:name="_Toc267060082"/>
      <w:bookmarkStart w:id="307" w:name="_Toc273178704"/>
      <w:bookmarkStart w:id="308" w:name="_Toc259520882"/>
      <w:bookmarkStart w:id="309" w:name="_Toc266870840"/>
      <w:bookmarkStart w:id="310" w:name="_Toc259692757"/>
      <w:bookmarkStart w:id="311" w:name="_Toc266868944"/>
      <w:bookmarkStart w:id="312" w:name="_Toc266870923"/>
      <w:bookmarkStart w:id="313" w:name="_Toc251613845"/>
      <w:bookmarkStart w:id="314" w:name="_Toc267059036"/>
      <w:bookmarkStart w:id="315" w:name="_Toc255975024"/>
      <w:bookmarkStart w:id="316" w:name="_Toc232302128"/>
      <w:bookmarkStart w:id="317" w:name="_Toc236021463"/>
      <w:bookmarkStart w:id="318" w:name="_Toc266868687"/>
      <w:bookmarkStart w:id="319" w:name="_Toc266870448"/>
      <w:bookmarkStart w:id="320" w:name="_Toc267060222"/>
      <w:bookmarkStart w:id="321" w:name="_Toc267059925"/>
      <w:bookmarkStart w:id="322" w:name="_Toc251586247"/>
      <w:bookmarkStart w:id="323" w:name="_Toc267060327"/>
      <w:bookmarkStart w:id="324" w:name="_Toc267059659"/>
      <w:bookmarkStart w:id="325" w:name="_Toc235438004"/>
      <w:bookmarkStart w:id="326" w:name="_Toc267060467"/>
      <w:bookmarkStart w:id="327" w:name="_Toc267059545"/>
      <w:bookmarkStart w:id="328" w:name="_Toc267059187"/>
      <w:bookmarkStart w:id="329" w:name="_Toc254790917"/>
      <w:r>
        <w:rPr>
          <w:rFonts w:ascii="仿宋" w:hAnsi="仿宋" w:eastAsia="仿宋"/>
          <w:b/>
          <w:bCs/>
          <w:sz w:val="28"/>
          <w:szCs w:val="28"/>
        </w:rPr>
        <w:t>4.</w:t>
      </w:r>
      <w:r>
        <w:rPr>
          <w:rFonts w:hint="eastAsia" w:ascii="仿宋" w:hAnsi="仿宋" w:eastAsia="仿宋"/>
          <w:b/>
          <w:bCs/>
          <w:sz w:val="28"/>
          <w:szCs w:val="28"/>
        </w:rPr>
        <w:t>质保和后期服务承诺书</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17</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18415"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D294B"/>
    <w:rsid w:val="000E0A1F"/>
    <w:rsid w:val="000E7F0C"/>
    <w:rsid w:val="000F4F45"/>
    <w:rsid w:val="00117901"/>
    <w:rsid w:val="00120CC1"/>
    <w:rsid w:val="00126009"/>
    <w:rsid w:val="0013118F"/>
    <w:rsid w:val="001561E9"/>
    <w:rsid w:val="001576E5"/>
    <w:rsid w:val="001729A2"/>
    <w:rsid w:val="00176CD4"/>
    <w:rsid w:val="00180AE7"/>
    <w:rsid w:val="00181C04"/>
    <w:rsid w:val="00182C6E"/>
    <w:rsid w:val="001839D3"/>
    <w:rsid w:val="00184894"/>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A0735"/>
    <w:rsid w:val="002B4EC7"/>
    <w:rsid w:val="002C2C3D"/>
    <w:rsid w:val="002C3845"/>
    <w:rsid w:val="002C4297"/>
    <w:rsid w:val="002D2852"/>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75717"/>
    <w:rsid w:val="00382D9B"/>
    <w:rsid w:val="00385087"/>
    <w:rsid w:val="00391718"/>
    <w:rsid w:val="00395D9F"/>
    <w:rsid w:val="00397A32"/>
    <w:rsid w:val="003A74C5"/>
    <w:rsid w:val="003B4F7D"/>
    <w:rsid w:val="003C60EF"/>
    <w:rsid w:val="003E6439"/>
    <w:rsid w:val="003F1413"/>
    <w:rsid w:val="003F20A6"/>
    <w:rsid w:val="00404FA2"/>
    <w:rsid w:val="004242F4"/>
    <w:rsid w:val="00425361"/>
    <w:rsid w:val="004262D6"/>
    <w:rsid w:val="0043243C"/>
    <w:rsid w:val="004341DA"/>
    <w:rsid w:val="00441955"/>
    <w:rsid w:val="004420EC"/>
    <w:rsid w:val="00444AC0"/>
    <w:rsid w:val="00465E75"/>
    <w:rsid w:val="00476184"/>
    <w:rsid w:val="0048303D"/>
    <w:rsid w:val="00486865"/>
    <w:rsid w:val="004A0268"/>
    <w:rsid w:val="004A199C"/>
    <w:rsid w:val="004B15F1"/>
    <w:rsid w:val="004B25FE"/>
    <w:rsid w:val="004B41BC"/>
    <w:rsid w:val="004B66B1"/>
    <w:rsid w:val="004C21F5"/>
    <w:rsid w:val="004D05DB"/>
    <w:rsid w:val="00502F52"/>
    <w:rsid w:val="00524E23"/>
    <w:rsid w:val="0052624B"/>
    <w:rsid w:val="005323AA"/>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4036"/>
    <w:rsid w:val="005B6F35"/>
    <w:rsid w:val="005E0DCF"/>
    <w:rsid w:val="005E77C4"/>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76F22"/>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65D"/>
    <w:rsid w:val="00865B30"/>
    <w:rsid w:val="00866BD7"/>
    <w:rsid w:val="00866FF8"/>
    <w:rsid w:val="00874219"/>
    <w:rsid w:val="0088163E"/>
    <w:rsid w:val="0088460F"/>
    <w:rsid w:val="008902DC"/>
    <w:rsid w:val="00896621"/>
    <w:rsid w:val="00897C04"/>
    <w:rsid w:val="008A08ED"/>
    <w:rsid w:val="008A415E"/>
    <w:rsid w:val="008C1BB0"/>
    <w:rsid w:val="008C6ED2"/>
    <w:rsid w:val="008D55E7"/>
    <w:rsid w:val="008F576D"/>
    <w:rsid w:val="009075A1"/>
    <w:rsid w:val="00913FBF"/>
    <w:rsid w:val="0091581B"/>
    <w:rsid w:val="00916285"/>
    <w:rsid w:val="00916532"/>
    <w:rsid w:val="00923C7E"/>
    <w:rsid w:val="00925800"/>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33A"/>
    <w:rsid w:val="00A148CE"/>
    <w:rsid w:val="00A24465"/>
    <w:rsid w:val="00A278BD"/>
    <w:rsid w:val="00A40610"/>
    <w:rsid w:val="00A4220E"/>
    <w:rsid w:val="00A44A63"/>
    <w:rsid w:val="00A52A3D"/>
    <w:rsid w:val="00A54EBA"/>
    <w:rsid w:val="00A64A5B"/>
    <w:rsid w:val="00A72420"/>
    <w:rsid w:val="00A75297"/>
    <w:rsid w:val="00A81C33"/>
    <w:rsid w:val="00A824EB"/>
    <w:rsid w:val="00A87563"/>
    <w:rsid w:val="00A961F6"/>
    <w:rsid w:val="00AA1C3E"/>
    <w:rsid w:val="00AA49A9"/>
    <w:rsid w:val="00AA6CF8"/>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B7A58"/>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20A4B"/>
    <w:rsid w:val="00F33D8E"/>
    <w:rsid w:val="00F412F9"/>
    <w:rsid w:val="00F51729"/>
    <w:rsid w:val="00F75C54"/>
    <w:rsid w:val="00F81E83"/>
    <w:rsid w:val="00F8646A"/>
    <w:rsid w:val="00F876DE"/>
    <w:rsid w:val="00FC3A3C"/>
    <w:rsid w:val="00FF0CC9"/>
    <w:rsid w:val="00FF1750"/>
    <w:rsid w:val="00FF721E"/>
    <w:rsid w:val="06AD6588"/>
    <w:rsid w:val="087C5D91"/>
    <w:rsid w:val="16265461"/>
    <w:rsid w:val="174F5A48"/>
    <w:rsid w:val="1780436D"/>
    <w:rsid w:val="1B0D29AB"/>
    <w:rsid w:val="1B587E60"/>
    <w:rsid w:val="226024DF"/>
    <w:rsid w:val="24602603"/>
    <w:rsid w:val="2BA352F2"/>
    <w:rsid w:val="2C3E452C"/>
    <w:rsid w:val="2EA62A14"/>
    <w:rsid w:val="2EBB2998"/>
    <w:rsid w:val="30220AB9"/>
    <w:rsid w:val="3F107CA1"/>
    <w:rsid w:val="491C6D9E"/>
    <w:rsid w:val="4AD1371F"/>
    <w:rsid w:val="4B052621"/>
    <w:rsid w:val="4D0C76E6"/>
    <w:rsid w:val="52A028C4"/>
    <w:rsid w:val="5422342C"/>
    <w:rsid w:val="58700A4B"/>
    <w:rsid w:val="5D5D3B0A"/>
    <w:rsid w:val="603D6413"/>
    <w:rsid w:val="63EE7680"/>
    <w:rsid w:val="63F33BFE"/>
    <w:rsid w:val="64F5357A"/>
    <w:rsid w:val="67C664FE"/>
    <w:rsid w:val="6B430D36"/>
    <w:rsid w:val="6D2A76E5"/>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4"/>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5"/>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6"/>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7"/>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8"/>
    <w:semiHidden/>
    <w:unhideWhenUsed/>
    <w:qFormat/>
    <w:uiPriority w:val="9"/>
    <w:pPr>
      <w:keepNext/>
      <w:keepLines/>
      <w:spacing w:before="120" w:after="0"/>
      <w:outlineLvl w:val="6"/>
    </w:pPr>
    <w:rPr>
      <w:i/>
      <w:iCs/>
    </w:rPr>
  </w:style>
  <w:style w:type="paragraph" w:styleId="9">
    <w:name w:val="heading 8"/>
    <w:basedOn w:val="1"/>
    <w:next w:val="1"/>
    <w:link w:val="39"/>
    <w:semiHidden/>
    <w:unhideWhenUsed/>
    <w:qFormat/>
    <w:uiPriority w:val="9"/>
    <w:pPr>
      <w:keepNext/>
      <w:keepLines/>
      <w:spacing w:before="120" w:after="0"/>
      <w:outlineLvl w:val="7"/>
    </w:pPr>
    <w:rPr>
      <w:b/>
      <w:bCs/>
    </w:rPr>
  </w:style>
  <w:style w:type="paragraph" w:styleId="10">
    <w:name w:val="heading 9"/>
    <w:basedOn w:val="1"/>
    <w:next w:val="1"/>
    <w:link w:val="40"/>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qFormat/>
    <w:uiPriority w:val="99"/>
    <w:pPr>
      <w:jc w:val="left"/>
    </w:pPr>
  </w:style>
  <w:style w:type="paragraph" w:styleId="14">
    <w:name w:val="Body Text"/>
    <w:basedOn w:val="1"/>
    <w:link w:val="41"/>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2"/>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4"/>
    <w:semiHidden/>
    <w:unhideWhenUsed/>
    <w:qFormat/>
    <w:uiPriority w:val="99"/>
    <w:pPr>
      <w:spacing w:after="0" w:line="240" w:lineRule="auto"/>
    </w:pPr>
    <w:rPr>
      <w:sz w:val="18"/>
      <w:szCs w:val="18"/>
    </w:rPr>
  </w:style>
  <w:style w:type="paragraph" w:styleId="19">
    <w:name w:val="footer"/>
    <w:basedOn w:val="1"/>
    <w:link w:val="43"/>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5"/>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6"/>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7"/>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customStyle="1" w:styleId="32">
    <w:name w:val="标题 1 Char"/>
    <w:basedOn w:val="28"/>
    <w:link w:val="2"/>
    <w:qFormat/>
    <w:uiPriority w:val="9"/>
    <w:rPr>
      <w:rFonts w:asciiTheme="majorHAnsi" w:hAnsiTheme="majorHAnsi" w:eastAsiaTheme="majorEastAsia" w:cstheme="majorBidi"/>
      <w:b/>
      <w:bCs/>
      <w:caps/>
      <w:spacing w:val="4"/>
      <w:sz w:val="28"/>
      <w:szCs w:val="28"/>
    </w:rPr>
  </w:style>
  <w:style w:type="character" w:customStyle="1" w:styleId="33">
    <w:name w:val="标题 2 Char"/>
    <w:basedOn w:val="28"/>
    <w:link w:val="3"/>
    <w:qFormat/>
    <w:uiPriority w:val="9"/>
    <w:rPr>
      <w:rFonts w:asciiTheme="majorHAnsi" w:hAnsiTheme="majorHAnsi" w:eastAsiaTheme="majorEastAsia" w:cstheme="majorBidi"/>
      <w:b/>
      <w:bCs/>
      <w:sz w:val="28"/>
      <w:szCs w:val="28"/>
    </w:rPr>
  </w:style>
  <w:style w:type="character" w:customStyle="1" w:styleId="34">
    <w:name w:val="标题 3 Char"/>
    <w:basedOn w:val="28"/>
    <w:link w:val="4"/>
    <w:qFormat/>
    <w:uiPriority w:val="9"/>
    <w:rPr>
      <w:rFonts w:asciiTheme="majorHAnsi" w:hAnsiTheme="majorHAnsi" w:eastAsiaTheme="majorEastAsia" w:cstheme="majorBidi"/>
      <w:spacing w:val="4"/>
      <w:sz w:val="24"/>
      <w:szCs w:val="24"/>
    </w:rPr>
  </w:style>
  <w:style w:type="character" w:customStyle="1" w:styleId="35">
    <w:name w:val="标题 4 Char"/>
    <w:basedOn w:val="28"/>
    <w:link w:val="5"/>
    <w:semiHidden/>
    <w:qFormat/>
    <w:uiPriority w:val="9"/>
    <w:rPr>
      <w:rFonts w:asciiTheme="majorHAnsi" w:hAnsiTheme="majorHAnsi" w:eastAsiaTheme="majorEastAsia" w:cstheme="majorBidi"/>
      <w:i/>
      <w:iCs/>
      <w:sz w:val="24"/>
      <w:szCs w:val="24"/>
    </w:rPr>
  </w:style>
  <w:style w:type="character" w:customStyle="1" w:styleId="36">
    <w:name w:val="标题 5 Char"/>
    <w:basedOn w:val="28"/>
    <w:link w:val="6"/>
    <w:semiHidden/>
    <w:qFormat/>
    <w:uiPriority w:val="9"/>
    <w:rPr>
      <w:rFonts w:asciiTheme="majorHAnsi" w:hAnsiTheme="majorHAnsi" w:eastAsiaTheme="majorEastAsia" w:cstheme="majorBidi"/>
      <w:b/>
      <w:bCs/>
    </w:rPr>
  </w:style>
  <w:style w:type="character" w:customStyle="1" w:styleId="37">
    <w:name w:val="标题 6 Char"/>
    <w:basedOn w:val="28"/>
    <w:link w:val="7"/>
    <w:semiHidden/>
    <w:qFormat/>
    <w:uiPriority w:val="9"/>
    <w:rPr>
      <w:rFonts w:asciiTheme="majorHAnsi" w:hAnsiTheme="majorHAnsi" w:eastAsiaTheme="majorEastAsia" w:cstheme="majorBidi"/>
      <w:b/>
      <w:bCs/>
      <w:i/>
      <w:iCs/>
    </w:rPr>
  </w:style>
  <w:style w:type="character" w:customStyle="1" w:styleId="38">
    <w:name w:val="标题 7 Char"/>
    <w:basedOn w:val="28"/>
    <w:link w:val="8"/>
    <w:semiHidden/>
    <w:qFormat/>
    <w:uiPriority w:val="9"/>
    <w:rPr>
      <w:i/>
      <w:iCs/>
    </w:rPr>
  </w:style>
  <w:style w:type="character" w:customStyle="1" w:styleId="39">
    <w:name w:val="标题 8 Char"/>
    <w:basedOn w:val="28"/>
    <w:link w:val="9"/>
    <w:semiHidden/>
    <w:qFormat/>
    <w:uiPriority w:val="9"/>
    <w:rPr>
      <w:b/>
      <w:bCs/>
    </w:rPr>
  </w:style>
  <w:style w:type="character" w:customStyle="1" w:styleId="40">
    <w:name w:val="标题 9 Char"/>
    <w:basedOn w:val="28"/>
    <w:link w:val="10"/>
    <w:semiHidden/>
    <w:qFormat/>
    <w:uiPriority w:val="9"/>
    <w:rPr>
      <w:i/>
      <w:iCs/>
    </w:rPr>
  </w:style>
  <w:style w:type="character" w:customStyle="1" w:styleId="41">
    <w:name w:val="正文文本 Char"/>
    <w:basedOn w:val="28"/>
    <w:link w:val="14"/>
    <w:semiHidden/>
    <w:qFormat/>
    <w:uiPriority w:val="99"/>
  </w:style>
  <w:style w:type="character" w:customStyle="1" w:styleId="42">
    <w:name w:val="纯文本 Char1"/>
    <w:basedOn w:val="28"/>
    <w:link w:val="16"/>
    <w:qFormat/>
    <w:uiPriority w:val="0"/>
    <w:rPr>
      <w:rFonts w:hAnsi="Courier New" w:cs="Courier New" w:asciiTheme="minorEastAsia"/>
    </w:rPr>
  </w:style>
  <w:style w:type="character" w:customStyle="1" w:styleId="43">
    <w:name w:val="页脚 Char"/>
    <w:basedOn w:val="28"/>
    <w:link w:val="19"/>
    <w:qFormat/>
    <w:uiPriority w:val="99"/>
    <w:rPr>
      <w:sz w:val="18"/>
      <w:szCs w:val="18"/>
    </w:rPr>
  </w:style>
  <w:style w:type="character" w:customStyle="1" w:styleId="44">
    <w:name w:val="页眉 Char"/>
    <w:basedOn w:val="28"/>
    <w:link w:val="20"/>
    <w:qFormat/>
    <w:uiPriority w:val="99"/>
    <w:rPr>
      <w:sz w:val="18"/>
      <w:szCs w:val="18"/>
    </w:rPr>
  </w:style>
  <w:style w:type="character" w:customStyle="1" w:styleId="45">
    <w:name w:val="副标题 Char"/>
    <w:basedOn w:val="28"/>
    <w:link w:val="22"/>
    <w:qFormat/>
    <w:uiPriority w:val="11"/>
    <w:rPr>
      <w:rFonts w:asciiTheme="majorHAnsi" w:hAnsiTheme="majorHAnsi" w:eastAsiaTheme="majorEastAsia" w:cstheme="majorBidi"/>
      <w:sz w:val="24"/>
      <w:szCs w:val="24"/>
    </w:rPr>
  </w:style>
  <w:style w:type="character" w:customStyle="1" w:styleId="46">
    <w:name w:val="正文文本缩进 3 Char"/>
    <w:basedOn w:val="28"/>
    <w:link w:val="23"/>
    <w:qFormat/>
    <w:uiPriority w:val="0"/>
    <w:rPr>
      <w:rFonts w:ascii="Times New Roman" w:hAnsi="Times New Roman" w:eastAsia="宋体" w:cs="Times New Roman"/>
      <w:kern w:val="2"/>
      <w:sz w:val="16"/>
      <w:szCs w:val="16"/>
    </w:rPr>
  </w:style>
  <w:style w:type="character" w:customStyle="1" w:styleId="47">
    <w:name w:val="标题 Char"/>
    <w:basedOn w:val="28"/>
    <w:link w:val="25"/>
    <w:qFormat/>
    <w:uiPriority w:val="10"/>
    <w:rPr>
      <w:rFonts w:asciiTheme="majorHAnsi" w:hAnsiTheme="majorHAnsi" w:eastAsiaTheme="majorEastAsia" w:cstheme="majorBidi"/>
      <w:b/>
      <w:bCs/>
      <w:spacing w:val="-7"/>
      <w:sz w:val="48"/>
      <w:szCs w:val="48"/>
    </w:rPr>
  </w:style>
  <w:style w:type="paragraph" w:styleId="48">
    <w:name w:val="No Spacing"/>
    <w:link w:val="49"/>
    <w:qFormat/>
    <w:uiPriority w:val="1"/>
    <w:pPr>
      <w:jc w:val="both"/>
    </w:pPr>
    <w:rPr>
      <w:rFonts w:asciiTheme="minorHAnsi" w:hAnsiTheme="minorHAnsi" w:eastAsiaTheme="minorEastAsia" w:cstheme="minorBidi"/>
      <w:sz w:val="22"/>
      <w:szCs w:val="22"/>
      <w:lang w:val="en-US" w:eastAsia="zh-CN" w:bidi="ar-SA"/>
    </w:rPr>
  </w:style>
  <w:style w:type="character" w:customStyle="1" w:styleId="49">
    <w:name w:val="无间隔 Char"/>
    <w:basedOn w:val="28"/>
    <w:link w:val="48"/>
    <w:qFormat/>
    <w:uiPriority w:val="1"/>
  </w:style>
  <w:style w:type="paragraph" w:styleId="50">
    <w:name w:val="Quote"/>
    <w:basedOn w:val="1"/>
    <w:next w:val="1"/>
    <w:link w:val="51"/>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1">
    <w:name w:val="引用 Char"/>
    <w:basedOn w:val="28"/>
    <w:link w:val="50"/>
    <w:qFormat/>
    <w:uiPriority w:val="29"/>
    <w:rPr>
      <w:rFonts w:asciiTheme="majorHAnsi" w:hAnsiTheme="majorHAnsi" w:eastAsiaTheme="majorEastAsia" w:cstheme="majorBidi"/>
      <w:i/>
      <w:iCs/>
      <w:sz w:val="24"/>
      <w:szCs w:val="24"/>
    </w:rPr>
  </w:style>
  <w:style w:type="paragraph" w:styleId="52">
    <w:name w:val="Intense Quote"/>
    <w:basedOn w:val="1"/>
    <w:next w:val="1"/>
    <w:link w:val="53"/>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3">
    <w:name w:val="明显引用 Char"/>
    <w:basedOn w:val="28"/>
    <w:link w:val="52"/>
    <w:qFormat/>
    <w:uiPriority w:val="30"/>
    <w:rPr>
      <w:rFonts w:asciiTheme="majorHAnsi" w:hAnsiTheme="majorHAnsi" w:eastAsiaTheme="majorEastAsia" w:cstheme="majorBidi"/>
      <w:sz w:val="26"/>
      <w:szCs w:val="26"/>
    </w:rPr>
  </w:style>
  <w:style w:type="character" w:customStyle="1" w:styleId="54">
    <w:name w:val="不明显强调1"/>
    <w:basedOn w:val="28"/>
    <w:qFormat/>
    <w:uiPriority w:val="19"/>
    <w:rPr>
      <w:i/>
      <w:iCs/>
      <w:color w:val="auto"/>
    </w:rPr>
  </w:style>
  <w:style w:type="character" w:customStyle="1" w:styleId="55">
    <w:name w:val="明显强调1"/>
    <w:basedOn w:val="28"/>
    <w:qFormat/>
    <w:uiPriority w:val="21"/>
    <w:rPr>
      <w:b/>
      <w:bCs/>
      <w:i/>
      <w:iCs/>
      <w:color w:val="auto"/>
    </w:rPr>
  </w:style>
  <w:style w:type="character" w:customStyle="1" w:styleId="56">
    <w:name w:val="不明显参考1"/>
    <w:basedOn w:val="28"/>
    <w:qFormat/>
    <w:uiPriority w:val="31"/>
    <w:rPr>
      <w:smallCaps/>
      <w:color w:val="auto"/>
      <w:u w:val="single" w:color="7E7E7E" w:themeColor="text1" w:themeTint="80"/>
    </w:rPr>
  </w:style>
  <w:style w:type="character" w:customStyle="1" w:styleId="57">
    <w:name w:val="明显参考1"/>
    <w:basedOn w:val="28"/>
    <w:qFormat/>
    <w:uiPriority w:val="32"/>
    <w:rPr>
      <w:b/>
      <w:bCs/>
      <w:smallCaps/>
      <w:color w:val="auto"/>
      <w:u w:val="single"/>
    </w:rPr>
  </w:style>
  <w:style w:type="character" w:customStyle="1" w:styleId="58">
    <w:name w:val="书籍标题1"/>
    <w:basedOn w:val="28"/>
    <w:qFormat/>
    <w:uiPriority w:val="33"/>
    <w:rPr>
      <w:b/>
      <w:bCs/>
      <w:smallCaps/>
      <w:color w:val="auto"/>
    </w:rPr>
  </w:style>
  <w:style w:type="paragraph" w:customStyle="1" w:styleId="59">
    <w:name w:val="TOC 标题1"/>
    <w:basedOn w:val="2"/>
    <w:next w:val="1"/>
    <w:unhideWhenUsed/>
    <w:qFormat/>
    <w:uiPriority w:val="39"/>
    <w:pPr>
      <w:outlineLvl w:val="9"/>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1">
    <w:name w:val="List Paragraph"/>
    <w:basedOn w:val="1"/>
    <w:qFormat/>
    <w:uiPriority w:val="34"/>
    <w:pPr>
      <w:ind w:firstLine="420" w:firstLineChars="200"/>
    </w:pPr>
  </w:style>
  <w:style w:type="paragraph" w:customStyle="1" w:styleId="62">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9AADF-BE3C-4C2A-A70D-06E8C0161C2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832</Words>
  <Characters>4747</Characters>
  <Lines>39</Lines>
  <Paragraphs>11</Paragraphs>
  <TotalTime>7</TotalTime>
  <ScaleCrop>false</ScaleCrop>
  <LinksUpToDate>false</LinksUpToDate>
  <CharactersWithSpaces>5568</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2021-07-13T00:37:00Z</dcterms:created>
  <dc:creator>树亮 门</dc:creator>
  <cp:lastModifiedBy>刘轩辰</cp:lastModifiedBy>
  <cp:lastPrinted>2021-05-10T06:58:00Z</cp:lastPrinted>
  <dcterms:modified xsi:type="dcterms:W3CDTF">2021-07-26T10:04:06Z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9A45FCE21AF948539135A8C147D69EFB</vt:lpwstr>
  </property>
</Properties>
</file>