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仿宋" w:hAnsi="仿宋" w:eastAsia="仿宋"/>
          <w:b/>
          <w:color w:val="000000" w:themeColor="text1"/>
          <w:sz w:val="44"/>
          <w:szCs w:val="44"/>
          <w14:textFill>
            <w14:solidFill>
              <w14:schemeClr w14:val="tx1"/>
            </w14:solidFill>
          </w14:textFill>
        </w:rPr>
      </w:pPr>
      <w:bookmarkStart w:id="0" w:name="_Hlk38472698"/>
      <w:r>
        <w:drawing>
          <wp:inline distT="0" distB="0" distL="0" distR="0">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center"/>
        <w:rPr>
          <w:rFonts w:hint="default" w:ascii="仿宋" w:hAnsi="仿宋" w:eastAsia="仿宋"/>
          <w:b/>
          <w:color w:val="000000" w:themeColor="text1"/>
          <w:sz w:val="52"/>
          <w:szCs w:val="52"/>
          <w:lang w:val="en-US" w:eastAsia="zh-CN"/>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关于入学资格复核平台</w:t>
      </w:r>
      <w:r>
        <w:rPr>
          <w:rFonts w:hint="eastAsia" w:ascii="仿宋" w:hAnsi="仿宋" w:eastAsia="仿宋"/>
          <w:b/>
          <w:color w:val="000000" w:themeColor="text1"/>
          <w:sz w:val="52"/>
          <w:szCs w:val="52"/>
          <w:lang w:val="en-US" w:eastAsia="zh-CN"/>
          <w14:textFill>
            <w14:solidFill>
              <w14:schemeClr w14:val="tx1"/>
            </w14:solidFill>
          </w14:textFill>
        </w:rPr>
        <w:t>采购项目</w:t>
      </w:r>
    </w:p>
    <w:bookmarkEnd w:id="0"/>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900" w:lineRule="exact"/>
        <w:jc w:val="center"/>
        <w:rPr>
          <w:rFonts w:hint="eastAsia"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1807" w:firstLineChars="500"/>
        <w:rPr>
          <w:rFonts w:hint="eastAsia" w:ascii="仿宋" w:hAnsi="仿宋" w:eastAsia="仿宋"/>
          <w:b/>
          <w:sz w:val="36"/>
          <w:szCs w:val="36"/>
          <w:lang w:eastAsia="zh-CN"/>
        </w:rPr>
      </w:pPr>
      <w:r>
        <w:rPr>
          <w:rFonts w:hint="eastAsia" w:ascii="仿宋" w:hAnsi="仿宋" w:eastAsia="仿宋"/>
          <w:b/>
          <w:sz w:val="36"/>
          <w:szCs w:val="36"/>
        </w:rPr>
        <w:t>项目编号：</w:t>
      </w:r>
      <w:bookmarkStart w:id="1" w:name="_Toc160880485"/>
      <w:bookmarkStart w:id="2" w:name="_Toc160880118"/>
      <w:bookmarkStart w:id="3" w:name="_Toc169332792"/>
      <w:r>
        <w:rPr>
          <w:rFonts w:hint="eastAsia" w:ascii="仿宋" w:hAnsi="仿宋" w:eastAsia="仿宋"/>
          <w:b/>
          <w:sz w:val="36"/>
          <w:szCs w:val="36"/>
        </w:rPr>
        <w:t>ZWC-202104</w:t>
      </w:r>
      <w:r>
        <w:rPr>
          <w:rFonts w:hint="eastAsia" w:ascii="仿宋" w:hAnsi="仿宋" w:eastAsia="仿宋"/>
          <w:b/>
          <w:sz w:val="36"/>
          <w:szCs w:val="36"/>
          <w:lang w:val="en-US" w:eastAsia="zh-CN"/>
        </w:rPr>
        <w:t>9</w:t>
      </w:r>
    </w:p>
    <w:p>
      <w:pPr>
        <w:spacing w:line="500" w:lineRule="exact"/>
        <w:ind w:firstLine="1807" w:firstLineChars="500"/>
        <w:rPr>
          <w:rFonts w:hint="eastAsia" w:ascii="仿宋" w:hAnsi="仿宋" w:eastAsia="仿宋"/>
          <w:b/>
          <w:sz w:val="36"/>
          <w:szCs w:val="36"/>
          <w:lang w:val="en-US" w:eastAsia="zh-CN"/>
        </w:rPr>
      </w:pPr>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：入学资格复核平台</w:t>
      </w:r>
      <w:r>
        <w:rPr>
          <w:rFonts w:hint="eastAsia" w:ascii="仿宋" w:hAnsi="仿宋" w:eastAsia="仿宋"/>
          <w:b/>
          <w:sz w:val="36"/>
          <w:szCs w:val="36"/>
          <w:lang w:val="en-US" w:eastAsia="zh-CN"/>
        </w:rPr>
        <w:t>采购项目</w:t>
      </w:r>
    </w:p>
    <w:p>
      <w:pPr>
        <w:rPr>
          <w:rFonts w:hint="eastAsia" w:ascii="仿宋" w:hAnsi="仿宋" w:eastAsia="仿宋"/>
          <w:b/>
          <w:sz w:val="36"/>
          <w:szCs w:val="36"/>
          <w:lang w:val="en-US" w:eastAsia="zh-CN"/>
        </w:rPr>
      </w:pPr>
      <w:r>
        <w:rPr>
          <w:rFonts w:hint="eastAsia" w:ascii="仿宋" w:hAnsi="仿宋" w:eastAsia="仿宋"/>
          <w:b/>
          <w:sz w:val="36"/>
          <w:szCs w:val="36"/>
          <w:lang w:val="en-US" w:eastAsia="zh-CN"/>
        </w:rPr>
        <w:br w:type="page"/>
      </w:r>
    </w:p>
    <w:p>
      <w:pPr>
        <w:spacing w:line="500" w:lineRule="exact"/>
        <w:ind w:firstLine="2849" w:firstLineChars="645"/>
        <w:rPr>
          <w:rFonts w:ascii="仿宋" w:hAnsi="仿宋" w:eastAsia="仿宋"/>
          <w:b/>
          <w:sz w:val="44"/>
          <w:szCs w:val="44"/>
        </w:rPr>
      </w:pPr>
      <w:bookmarkStart w:id="4" w:name="_Hlk67754059"/>
      <w:r>
        <w:rPr>
          <w:rFonts w:hint="eastAsia" w:ascii="仿宋" w:hAnsi="仿宋" w:eastAsia="仿宋"/>
          <w:b/>
          <w:sz w:val="44"/>
          <w:szCs w:val="44"/>
        </w:rPr>
        <w:t>一、询价邀请函</w:t>
      </w:r>
    </w:p>
    <w:bookmarkEnd w:id="4"/>
    <w:p>
      <w:pPr>
        <w:spacing w:after="0" w:line="500" w:lineRule="exact"/>
        <w:ind w:firstLine="560" w:firstLineChars="200"/>
        <w:rPr>
          <w:rFonts w:ascii="仿宋" w:hAnsi="仿宋" w:eastAsia="仿宋"/>
          <w:sz w:val="28"/>
          <w:szCs w:val="28"/>
        </w:rPr>
      </w:pPr>
      <w:bookmarkStart w:id="5"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重庆外语外事学院始建于2001年，是纳入国家普通高等教育招生计划、具有学士学位授予权的全日制普通本科高等学校。学校占地面积1572亩，学生规模约1.5万人。根据需要</w:t>
      </w:r>
      <w:r>
        <w:rPr>
          <w:rFonts w:hint="eastAsia" w:ascii="仿宋" w:hAnsi="仿宋" w:eastAsia="仿宋"/>
          <w:sz w:val="28"/>
          <w:szCs w:val="28"/>
          <w:lang w:val="en-US" w:eastAsia="zh-CN"/>
        </w:rPr>
        <w:t>对</w:t>
      </w:r>
      <w:r>
        <w:rPr>
          <w:rFonts w:hint="eastAsia" w:ascii="仿宋" w:hAnsi="仿宋" w:eastAsia="仿宋"/>
          <w:sz w:val="28"/>
          <w:szCs w:val="28"/>
        </w:rPr>
        <w:t>入学资格复核平台采购项目进行公开询价，欢迎国内合格参与人参与。</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一、项目说明</w:t>
      </w:r>
    </w:p>
    <w:p>
      <w:pPr>
        <w:widowControl w:val="0"/>
        <w:tabs>
          <w:tab w:val="left" w:pos="839"/>
          <w:tab w:val="left" w:pos="1469"/>
        </w:tabs>
        <w:spacing w:after="0" w:line="50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项目编号：ZWC-202104</w:t>
      </w:r>
      <w:r>
        <w:rPr>
          <w:rFonts w:hint="eastAsia" w:ascii="仿宋" w:hAnsi="仿宋" w:eastAsia="仿宋"/>
          <w:color w:val="000000" w:themeColor="text1"/>
          <w:sz w:val="28"/>
          <w:szCs w:val="28"/>
          <w:lang w:val="en-US" w:eastAsia="zh-CN"/>
          <w14:textFill>
            <w14:solidFill>
              <w14:schemeClr w14:val="tx1"/>
            </w14:solidFill>
          </w14:textFill>
        </w:rPr>
        <w:t>9</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项目名称：入学资格复核平台采购项目</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数量及主要技术要求:</w:t>
      </w:r>
      <w:r>
        <w:rPr>
          <w:rFonts w:hint="eastAsia" w:ascii="仿宋" w:hAnsi="仿宋" w:eastAsia="仿宋"/>
          <w:color w:val="000000" w:themeColor="text1"/>
          <w:sz w:val="28"/>
          <w:szCs w:val="28"/>
          <w:lang w:val="en-US" w:eastAsia="zh-CN"/>
          <w14:textFill>
            <w14:solidFill>
              <w14:schemeClr w14:val="tx1"/>
            </w14:solidFill>
          </w14:textFill>
        </w:rPr>
        <w:t>人脸抓拍摄像机8台，人脸识别模块/组件控制器1台，身份证阅读器8台，软件平台1套，</w:t>
      </w:r>
      <w:r>
        <w:rPr>
          <w:rFonts w:hint="eastAsia" w:ascii="仿宋" w:hAnsi="仿宋" w:eastAsia="仿宋"/>
          <w:color w:val="000000" w:themeColor="text1"/>
          <w:sz w:val="28"/>
          <w:szCs w:val="28"/>
          <w14:textFill>
            <w14:solidFill>
              <w14:schemeClr w14:val="tx1"/>
            </w14:solidFill>
          </w14:textFill>
        </w:rPr>
        <w:t>详见《公开询价一览表》</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参与人资格标准：</w:t>
      </w:r>
      <w:r>
        <w:rPr>
          <w:rFonts w:ascii="仿宋" w:hAnsi="仿宋" w:eastAsia="仿宋"/>
          <w:color w:val="000000" w:themeColor="text1"/>
          <w:sz w:val="28"/>
          <w:szCs w:val="28"/>
          <w14:textFill>
            <w14:solidFill>
              <w14:schemeClr w14:val="tx1"/>
            </w14:solidFill>
          </w14:textFill>
        </w:rPr>
        <w:t xml:space="preserve"> </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（1）参与人应具有独立法人资格，具有</w:t>
      </w:r>
      <w:r>
        <w:rPr>
          <w:rFonts w:hint="eastAsia" w:ascii="仿宋" w:hAnsi="仿宋" w:eastAsia="仿宋"/>
          <w:color w:val="auto"/>
          <w:sz w:val="28"/>
          <w:szCs w:val="28"/>
          <w:lang w:val="en-US" w:eastAsia="zh-CN"/>
        </w:rPr>
        <w:t>履行本项目所需设备和专业技术能力</w:t>
      </w:r>
      <w:r>
        <w:rPr>
          <w:rFonts w:hint="eastAsia" w:ascii="仿宋" w:hAnsi="仿宋" w:eastAsia="仿宋"/>
          <w:color w:val="auto"/>
          <w:sz w:val="28"/>
          <w:szCs w:val="28"/>
        </w:rPr>
        <w:t>。</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（2）参与人应在重庆市范围有固定售后服务机构，具备相应的服务能力。</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（4）参与人具有三年以上（包括三年）3个以上同类项目销售和良好的售后服务应用成功案例（提供文字或图片),近三年未发生重大安全或质量事故。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（6）参与人有依法缴纳税金的良好记录。</w:t>
      </w:r>
    </w:p>
    <w:p>
      <w:pPr>
        <w:pStyle w:val="62"/>
        <w:spacing w:after="0" w:line="400" w:lineRule="exact"/>
        <w:ind w:left="709" w:hanging="709" w:firstLineChars="0"/>
        <w:jc w:val="left"/>
        <w:rPr>
          <w:rFonts w:ascii="仿宋" w:hAnsi="仿宋" w:eastAsia="仿宋"/>
          <w:color w:val="auto"/>
          <w:sz w:val="28"/>
          <w:szCs w:val="28"/>
        </w:rPr>
      </w:pPr>
      <w:r>
        <w:rPr>
          <w:rFonts w:hint="eastAsia" w:ascii="仿宋" w:hAnsi="仿宋" w:eastAsia="仿宋"/>
          <w:color w:val="auto"/>
          <w:sz w:val="28"/>
          <w:szCs w:val="28"/>
        </w:rPr>
        <w:t>（7）参与人应提供下列资格证明文件，否则其响应文件将被拒绝：</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rPr>
        <w:t>1）营业执照副本、税务登记证副本、组织机构代码证副本(三证合一的只需提供带有社会信用代码的营业执照)；</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）2020年公司财务纳税证明；</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报价响应文件递交方式：</w:t>
      </w:r>
      <w:r>
        <w:rPr>
          <w:rFonts w:hint="eastAsia" w:ascii="仿宋" w:hAnsi="仿宋" w:eastAsia="仿宋"/>
          <w:b/>
          <w:bCs/>
          <w:sz w:val="28"/>
          <w:szCs w:val="28"/>
        </w:rPr>
        <w:t>密封报价并使用现场报送</w:t>
      </w:r>
      <w:r>
        <w:rPr>
          <w:rFonts w:hint="eastAsia" w:ascii="仿宋" w:hAnsi="仿宋" w:eastAsia="仿宋"/>
          <w:sz w:val="28"/>
          <w:szCs w:val="28"/>
        </w:rPr>
        <w:t>。</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w:t>
      </w:r>
      <w:r>
        <w:rPr>
          <w:rFonts w:hint="eastAsia" w:ascii="仿宋" w:hAnsi="仿宋" w:eastAsia="仿宋"/>
          <w:sz w:val="28"/>
          <w:szCs w:val="28"/>
          <w:shd w:val="clear" w:color="auto" w:fill="FFFFFF"/>
        </w:rPr>
        <w:t>2021年0</w:t>
      </w:r>
      <w:r>
        <w:rPr>
          <w:rFonts w:ascii="仿宋" w:hAnsi="仿宋" w:eastAsia="仿宋"/>
          <w:sz w:val="28"/>
          <w:szCs w:val="28"/>
          <w:shd w:val="clear" w:color="auto" w:fill="FFFFFF"/>
        </w:rPr>
        <w:t>8月</w:t>
      </w:r>
      <w:r>
        <w:rPr>
          <w:rFonts w:hint="eastAsia" w:ascii="仿宋" w:hAnsi="仿宋" w:eastAsia="仿宋"/>
          <w:sz w:val="28"/>
          <w:szCs w:val="28"/>
          <w:shd w:val="clear" w:color="auto" w:fill="FFFFFF"/>
          <w:lang w:val="en-US" w:eastAsia="zh-CN"/>
        </w:rPr>
        <w:t>20</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上午11：00前。</w:t>
      </w:r>
    </w:p>
    <w:p>
      <w:pPr>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7.</w:t>
      </w:r>
      <w:r>
        <w:rPr>
          <w:rFonts w:hint="eastAsia" w:ascii="仿宋" w:hAnsi="仿宋" w:eastAsia="仿宋"/>
          <w:color w:val="000000" w:themeColor="text1"/>
          <w:sz w:val="28"/>
          <w:szCs w:val="28"/>
          <w14:textFill>
            <w14:solidFill>
              <w14:schemeClr w14:val="tx1"/>
            </w14:solidFill>
          </w14:textFill>
        </w:rPr>
        <w:t>报价响应文件递交地点：</w:t>
      </w:r>
      <w:r>
        <w:rPr>
          <w:rFonts w:hint="eastAsia" w:ascii="仿宋" w:hAnsi="仿宋" w:eastAsia="仿宋"/>
          <w:sz w:val="28"/>
          <w:szCs w:val="28"/>
        </w:rPr>
        <w:t>渝北区回兴龙石路18号学院办公楼二楼</w:t>
      </w:r>
      <w:r>
        <w:rPr>
          <w:rFonts w:ascii="仿宋" w:hAnsi="仿宋" w:eastAsia="仿宋"/>
          <w:sz w:val="28"/>
          <w:szCs w:val="28"/>
        </w:rPr>
        <w:t>202</w:t>
      </w:r>
      <w:r>
        <w:rPr>
          <w:rFonts w:hint="eastAsia" w:ascii="仿宋" w:hAnsi="仿宋" w:eastAsia="仿宋"/>
          <w:sz w:val="28"/>
          <w:szCs w:val="28"/>
        </w:rPr>
        <w:t>室。</w:t>
      </w:r>
    </w:p>
    <w:p>
      <w:pPr>
        <w:spacing w:after="0" w:line="440" w:lineRule="exact"/>
        <w:ind w:left="839"/>
        <w:rPr>
          <w:rFonts w:ascii="仿宋" w:hAnsi="仿宋" w:eastAsia="仿宋"/>
          <w:b/>
          <w:bCs/>
          <w:sz w:val="28"/>
          <w:szCs w:val="28"/>
        </w:rPr>
      </w:pPr>
      <w:bookmarkStart w:id="6"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lang w:val="en-US" w:eastAsia="zh-CN"/>
        </w:rPr>
        <w:t xml:space="preserve">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hint="default" w:ascii="仿宋" w:hAnsi="仿宋" w:eastAsia="仿宋"/>
          <w:b/>
          <w:bCs/>
          <w:sz w:val="28"/>
          <w:szCs w:val="28"/>
          <w:lang w:val="en-US" w:eastAsia="zh-CN"/>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胡洪林</w:t>
      </w:r>
      <w:r>
        <w:rPr>
          <w:rFonts w:hint="eastAsia" w:ascii="仿宋" w:hAnsi="仿宋" w:eastAsia="仿宋"/>
          <w:b/>
          <w:bCs/>
          <w:sz w:val="28"/>
          <w:szCs w:val="28"/>
        </w:rPr>
        <w:t xml:space="preserve">  </w:t>
      </w:r>
      <w:r>
        <w:rPr>
          <w:rFonts w:ascii="仿宋" w:hAnsi="仿宋" w:eastAsia="仿宋"/>
          <w:b/>
          <w:bCs/>
          <w:sz w:val="28"/>
          <w:szCs w:val="28"/>
        </w:rPr>
        <w:t xml:space="preserve">    </w:t>
      </w:r>
      <w:r>
        <w:rPr>
          <w:rFonts w:hint="eastAsia" w:ascii="仿宋" w:hAnsi="仿宋" w:eastAsia="仿宋"/>
          <w:b/>
          <w:bCs/>
          <w:sz w:val="28"/>
          <w:szCs w:val="28"/>
        </w:rPr>
        <w:t>联系电话：</w:t>
      </w:r>
      <w:r>
        <w:rPr>
          <w:rFonts w:hint="eastAsia" w:ascii="仿宋" w:hAnsi="仿宋" w:eastAsia="仿宋"/>
          <w:b/>
          <w:bCs/>
          <w:sz w:val="28"/>
          <w:szCs w:val="28"/>
          <w:lang w:val="en-US" w:eastAsia="zh-CN"/>
        </w:rPr>
        <w:t>15086692878</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6"/>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二、参与人须知</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1.所有货物及施工改造服务等均以人民币报价；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2.报价响应文件2份，报价响应文件</w:t>
      </w:r>
      <w:r>
        <w:rPr>
          <w:rFonts w:ascii="仿宋" w:hAnsi="仿宋" w:eastAsia="仿宋"/>
          <w:color w:val="000000" w:themeColor="text1"/>
          <w:sz w:val="28"/>
          <w:szCs w:val="28"/>
          <w14:textFill>
            <w14:solidFill>
              <w14:schemeClr w14:val="tx1"/>
            </w14:solidFill>
          </w14:textFill>
        </w:rPr>
        <w:t>必须用A4幅面纸张打印</w:t>
      </w:r>
      <w:r>
        <w:rPr>
          <w:rFonts w:hint="eastAsia" w:ascii="仿宋" w:hAnsi="仿宋" w:eastAsia="仿宋"/>
          <w:color w:val="000000" w:themeColor="text1"/>
          <w:sz w:val="28"/>
          <w:szCs w:val="28"/>
          <w14:textFill>
            <w14:solidFill>
              <w14:schemeClr w14:val="tx1"/>
            </w14:solidFill>
          </w14:textFill>
        </w:rPr>
        <w:t>，须由参与人填写并加盖公章（正本1份副本1份）；</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3.报价响应文件用不退色墨水书写或打印，因字迹潦草或表达不清所引起的后果由参与人自负；</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报价响应文件及所有相关资料需同时进行密封处理，并在密封处加盖公章，未做密封处理及未加盖公章的视为无效报价；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5.一个参与人只能提交一个报价响应文件。但如果参与人之间存在下列互为关联关系情形之一的，不得同时参加本项目报价：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法定代表人为同一人的两个及两个以上法人；</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 母公司、直接或间接持股50％及以上的被投资公司;</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w:t>
      </w:r>
      <w:r>
        <w:rPr>
          <w:rFonts w:hint="eastAsia" w:ascii="仿宋" w:hAnsi="仿宋" w:eastAsia="仿宋"/>
          <w:sz w:val="28"/>
          <w:szCs w:val="28"/>
          <w:lang w:val="en-US" w:eastAsia="zh-CN"/>
        </w:rPr>
        <w:t>叁</w:t>
      </w:r>
      <w:r>
        <w:rPr>
          <w:rFonts w:hint="eastAsia" w:ascii="仿宋" w:hAnsi="仿宋" w:eastAsia="仿宋"/>
          <w:sz w:val="28"/>
          <w:szCs w:val="28"/>
        </w:rPr>
        <w:t>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pStyle w:val="61"/>
        <w:spacing w:line="360" w:lineRule="auto"/>
        <w:jc w:val="center"/>
        <w:outlineLvl w:val="0"/>
        <w:rPr>
          <w:rFonts w:ascii="仿宋" w:hAnsi="仿宋" w:eastAsia="仿宋"/>
          <w:b/>
          <w:color w:val="000000" w:themeColor="text1"/>
          <w:sz w:val="44"/>
          <w:szCs w:val="44"/>
          <w14:textFill>
            <w14:solidFill>
              <w14:schemeClr w14:val="tx1"/>
            </w14:solidFill>
          </w14:textFill>
        </w:rPr>
      </w:pPr>
      <w:bookmarkStart w:id="7" w:name="_Hlk61444720"/>
      <w:r>
        <w:rPr>
          <w:rFonts w:hint="eastAsia" w:ascii="仿宋" w:hAnsi="仿宋" w:eastAsia="仿宋"/>
          <w:b/>
          <w:color w:val="000000" w:themeColor="text1"/>
          <w:sz w:val="44"/>
          <w:szCs w:val="44"/>
          <w14:textFill>
            <w14:solidFill>
              <w14:schemeClr w14:val="tx1"/>
            </w14:solidFill>
          </w14:textFill>
        </w:rPr>
        <w:t>二、公开询价</w:t>
      </w:r>
      <w:bookmarkEnd w:id="5"/>
      <w:r>
        <w:rPr>
          <w:rFonts w:hint="eastAsia" w:ascii="仿宋" w:hAnsi="仿宋" w:eastAsia="仿宋"/>
          <w:b/>
          <w:color w:val="000000" w:themeColor="text1"/>
          <w:sz w:val="44"/>
          <w:szCs w:val="44"/>
          <w14:textFill>
            <w14:solidFill>
              <w14:schemeClr w14:val="tx1"/>
            </w14:solidFill>
          </w14:textFill>
        </w:rPr>
        <w:t>项目介绍</w:t>
      </w:r>
    </w:p>
    <w:bookmarkEnd w:id="7"/>
    <w:p>
      <w:pPr>
        <w:spacing w:after="0" w:line="500" w:lineRule="exact"/>
        <w:ind w:left="1968" w:hanging="1968" w:hangingChars="700"/>
        <w:rPr>
          <w:rFonts w:ascii="仿宋" w:hAnsi="仿宋" w:eastAsia="仿宋"/>
          <w:b/>
          <w:sz w:val="28"/>
          <w:szCs w:val="28"/>
        </w:rPr>
      </w:pPr>
      <w:bookmarkStart w:id="8" w:name="_Hlk46845989"/>
      <w:r>
        <w:rPr>
          <w:rFonts w:hint="eastAsia" w:ascii="仿宋" w:hAnsi="仿宋" w:eastAsia="仿宋"/>
          <w:b/>
          <w:sz w:val="28"/>
          <w:szCs w:val="28"/>
        </w:rPr>
        <w:t>一、项目名称：</w:t>
      </w:r>
      <w:r>
        <w:rPr>
          <w:rFonts w:hint="eastAsia" w:ascii="仿宋" w:hAnsi="仿宋" w:eastAsia="仿宋"/>
          <w:color w:val="000000" w:themeColor="text1"/>
          <w:sz w:val="28"/>
          <w:szCs w:val="28"/>
          <w14:textFill>
            <w14:solidFill>
              <w14:schemeClr w14:val="tx1"/>
            </w14:solidFill>
          </w14:textFill>
        </w:rPr>
        <w:t>入学资格复核平台采购项目</w:t>
      </w:r>
    </w:p>
    <w:p>
      <w:pPr>
        <w:spacing w:after="0" w:line="500" w:lineRule="exact"/>
        <w:ind w:left="1985" w:right="-180" w:rightChars="-82" w:hanging="1985" w:hangingChars="706"/>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w:t>
      </w:r>
      <w:r>
        <w:rPr>
          <w:rFonts w:ascii="仿宋" w:hAnsi="仿宋" w:eastAsia="仿宋"/>
          <w:color w:val="000000" w:themeColor="text1"/>
          <w:sz w:val="28"/>
          <w:szCs w:val="28"/>
          <w14:textFill>
            <w14:solidFill>
              <w14:schemeClr w14:val="tx1"/>
            </w14:solidFill>
          </w14:textFill>
        </w:rPr>
        <w:t>8</w:t>
      </w:r>
      <w:r>
        <w:rPr>
          <w:rFonts w:hint="eastAsia" w:ascii="仿宋" w:hAnsi="仿宋" w:eastAsia="仿宋"/>
          <w:color w:val="000000" w:themeColor="text1"/>
          <w:sz w:val="28"/>
          <w:szCs w:val="28"/>
          <w14:textFill>
            <w14:solidFill>
              <w14:schemeClr w14:val="tx1"/>
            </w14:solidFill>
          </w14:textFill>
        </w:rPr>
        <w:t>号</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重庆市綦江区文龙街道学府路1号</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rPr>
        <w:t>重庆外语外事学院对</w:t>
      </w:r>
      <w:r>
        <w:rPr>
          <w:rFonts w:hint="eastAsia" w:ascii="仿宋" w:hAnsi="仿宋" w:eastAsia="仿宋"/>
          <w:color w:val="000000" w:themeColor="text1"/>
          <w:sz w:val="28"/>
          <w:szCs w:val="28"/>
          <w14:textFill>
            <w14:solidFill>
              <w14:schemeClr w14:val="tx1"/>
            </w14:solidFill>
          </w14:textFill>
        </w:rPr>
        <w:t>入学资格复核平台采购项目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hint="eastAsia"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440" w:lineRule="exact"/>
        <w:ind w:firstLine="567"/>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4.符合《GA450-2013台式居民身份证阅读器通用技术要求》、《GA467居民身份证验证安全控制模块接口技术规范》、《GA1012-2012居民身份证指纹采集和比对技术规范》、《GA.T1011-2012居民身份证指纹采集器通用技术要求》；</w:t>
      </w:r>
    </w:p>
    <w:p>
      <w:pPr>
        <w:spacing w:after="0" w:line="440" w:lineRule="exact"/>
        <w:ind w:firstLine="567"/>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 xml:space="preserve">5、需提供国家安全防范报警系统产品质量监督检测中心出具的《检测报告》（复印件加盖公章） </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（一）资格性审查：按参与人资格标准的各项要求逐项审查。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注：资格性审查有其中一项不符合者不进入下一程序。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（二）符合性审查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2、服务要求：参与人必须逐项承诺</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（1）交货时间：2021年08月</w:t>
      </w:r>
      <w:r>
        <w:rPr>
          <w:rFonts w:ascii="仿宋" w:hAnsi="仿宋" w:eastAsia="仿宋"/>
          <w:bCs/>
          <w:color w:val="000000" w:themeColor="text1"/>
          <w:sz w:val="28"/>
          <w:szCs w:val="28"/>
          <w14:textFill>
            <w14:solidFill>
              <w14:schemeClr w14:val="tx1"/>
            </w14:solidFill>
          </w14:textFill>
        </w:rPr>
        <w:t>30</w:t>
      </w:r>
      <w:r>
        <w:rPr>
          <w:rFonts w:hint="eastAsia" w:ascii="仿宋" w:hAnsi="仿宋" w:eastAsia="仿宋"/>
          <w:bCs/>
          <w:color w:val="000000" w:themeColor="text1"/>
          <w:sz w:val="28"/>
          <w:szCs w:val="28"/>
          <w14:textFill>
            <w14:solidFill>
              <w14:schemeClr w14:val="tx1"/>
            </w14:solidFill>
          </w14:textFill>
        </w:rPr>
        <w:t>日前。</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（2）交货地点：重庆市渝北区龙石路1</w:t>
      </w:r>
      <w:r>
        <w:rPr>
          <w:rFonts w:ascii="仿宋" w:hAnsi="仿宋" w:eastAsia="仿宋"/>
          <w:bCs/>
          <w:color w:val="000000" w:themeColor="text1"/>
          <w:sz w:val="28"/>
          <w:szCs w:val="28"/>
          <w14:textFill>
            <w14:solidFill>
              <w14:schemeClr w14:val="tx1"/>
            </w14:solidFill>
          </w14:textFill>
        </w:rPr>
        <w:t>8</w:t>
      </w:r>
      <w:r>
        <w:rPr>
          <w:rFonts w:hint="eastAsia" w:ascii="仿宋" w:hAnsi="仿宋" w:eastAsia="仿宋"/>
          <w:bCs/>
          <w:color w:val="000000" w:themeColor="text1"/>
          <w:sz w:val="28"/>
          <w:szCs w:val="28"/>
          <w14:textFill>
            <w14:solidFill>
              <w14:schemeClr w14:val="tx1"/>
            </w14:solidFill>
          </w14:textFill>
        </w:rPr>
        <w:t>号。</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（3）到货率：根据交货时间到货率达到100%。</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（4）付款方式：安装完成验收合格付95%，验收合格之日，起满一年</w:t>
      </w:r>
      <w:r>
        <w:rPr>
          <w:rFonts w:hint="eastAsia" w:ascii="仿宋" w:hAnsi="仿宋" w:eastAsia="仿宋"/>
          <w:bCs/>
          <w:color w:val="000000" w:themeColor="text1"/>
          <w:sz w:val="28"/>
          <w:szCs w:val="28"/>
          <w:lang w:val="en-US" w:eastAsia="zh-CN"/>
          <w14:textFill>
            <w14:solidFill>
              <w14:schemeClr w14:val="tx1"/>
            </w14:solidFill>
          </w14:textFill>
        </w:rPr>
        <w:t>且</w:t>
      </w:r>
      <w:r>
        <w:rPr>
          <w:rFonts w:hint="eastAsia" w:ascii="仿宋" w:hAnsi="仿宋" w:eastAsia="仿宋"/>
          <w:bCs/>
          <w:color w:val="000000" w:themeColor="text1"/>
          <w:sz w:val="28"/>
          <w:szCs w:val="28"/>
          <w14:textFill>
            <w14:solidFill>
              <w14:schemeClr w14:val="tx1"/>
            </w14:solidFill>
          </w14:textFill>
        </w:rPr>
        <w:t>无重大质量问题付5%。</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（5）验收承诺：详见第四条技术服务要求。</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（6）售后服务承诺：详见第六条售后服务要求。</w:t>
      </w:r>
    </w:p>
    <w:p>
      <w:pPr>
        <w:spacing w:after="0" w:line="5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叁</w:t>
      </w:r>
      <w:r>
        <w:rPr>
          <w:rFonts w:hint="eastAsia" w:ascii="仿宋" w:hAnsi="仿宋" w:eastAsia="仿宋"/>
          <w:sz w:val="28"/>
          <w:szCs w:val="28"/>
        </w:rPr>
        <w:t>年，从验收合格之日起算。在保质期内，乙方应对非人为因素损坏的物品负责包换。</w:t>
      </w:r>
    </w:p>
    <w:p>
      <w:pPr>
        <w:spacing w:after="0" w:line="440" w:lineRule="exact"/>
        <w:rPr>
          <w:rFonts w:ascii="仿宋" w:hAnsi="仿宋" w:eastAsia="仿宋"/>
          <w:bCs/>
          <w:color w:val="000000" w:themeColor="text1"/>
          <w:sz w:val="28"/>
          <w:szCs w:val="28"/>
          <w14:textFill>
            <w14:solidFill>
              <w14:schemeClr w14:val="tx1"/>
            </w14:solidFill>
          </w14:textFill>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bookmarkEnd w:id="8"/>
    <w:p>
      <w:pPr>
        <w:rPr>
          <w:rFonts w:ascii="仿宋" w:hAnsi="仿宋" w:eastAsia="仿宋"/>
          <w:b/>
          <w:color w:val="000000" w:themeColor="text1"/>
          <w:sz w:val="36"/>
          <w:szCs w:val="36"/>
          <w14:textFill>
            <w14:solidFill>
              <w14:schemeClr w14:val="tx1"/>
            </w14:solidFill>
          </w14:textFill>
        </w:rPr>
        <w:sectPr>
          <w:pgSz w:w="11906" w:h="16838"/>
          <w:pgMar w:top="1440" w:right="1274" w:bottom="1440" w:left="1134" w:header="567" w:footer="227" w:gutter="0"/>
          <w:cols w:space="425" w:num="1"/>
          <w:titlePg/>
          <w:docGrid w:type="lines" w:linePitch="312" w:charSpace="0"/>
        </w:sectPr>
      </w:pPr>
    </w:p>
    <w:p>
      <w:pPr>
        <w:pStyle w:val="61"/>
        <w:numPr>
          <w:ilvl w:val="0"/>
          <w:numId w:val="1"/>
        </w:numPr>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公开询价货物一览表</w:t>
      </w:r>
    </w:p>
    <w:tbl>
      <w:tblPr>
        <w:tblStyle w:val="26"/>
        <w:tblW w:w="14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303"/>
        <w:gridCol w:w="6405"/>
        <w:gridCol w:w="825"/>
        <w:gridCol w:w="750"/>
        <w:gridCol w:w="769"/>
        <w:gridCol w:w="1087"/>
        <w:gridCol w:w="750"/>
        <w:gridCol w:w="656"/>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1303"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6405"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825"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769"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品牌</w:t>
            </w:r>
          </w:p>
        </w:tc>
        <w:tc>
          <w:tcPr>
            <w:tcW w:w="1087"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规格型号</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656"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85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一、</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宋体" w:hAnsi="宋体" w:cs="宋体"/>
                <w:color w:val="000000"/>
                <w:sz w:val="24"/>
              </w:rPr>
              <w:t>硬件设备</w:t>
            </w:r>
          </w:p>
        </w:tc>
        <w:tc>
          <w:tcPr>
            <w:tcW w:w="640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olor w:val="000000"/>
                <w:sz w:val="24"/>
              </w:rPr>
            </w:pPr>
            <w:r>
              <w:rPr>
                <w:rFonts w:hint="eastAsia" w:ascii="宋体" w:hAnsi="宋体"/>
                <w:color w:val="000000"/>
                <w:sz w:val="24"/>
              </w:rPr>
              <w:t>人脸抓拍摄像机</w:t>
            </w:r>
          </w:p>
        </w:tc>
        <w:tc>
          <w:tcPr>
            <w:tcW w:w="6405" w:type="dxa"/>
            <w:vAlign w:val="center"/>
          </w:tcPr>
          <w:p>
            <w:pPr>
              <w:spacing w:after="0" w:line="320" w:lineRule="exact"/>
              <w:jc w:val="left"/>
            </w:pPr>
            <w:r>
              <w:rPr>
                <w:rFonts w:hint="eastAsia"/>
              </w:rPr>
              <w:t>1.设备应具备传感器类型1/2.8英寸CMOS；像素200万或以上；分辨率≥1920×1080。</w:t>
            </w:r>
          </w:p>
          <w:p>
            <w:pPr>
              <w:spacing w:after="0" w:line="320" w:lineRule="exact"/>
              <w:jc w:val="left"/>
            </w:pPr>
            <w:r>
              <w:rPr>
                <w:rFonts w:hint="eastAsia"/>
              </w:rPr>
              <w:t>2.设备应支持最低照度0.0002Lux（彩色模式）；0.0001Lux（黑白模式）；0Lux（补光灯开启）。</w:t>
            </w:r>
          </w:p>
          <w:p>
            <w:pPr>
              <w:spacing w:after="0" w:line="320" w:lineRule="exact"/>
              <w:jc w:val="left"/>
            </w:pPr>
            <w:r>
              <w:t>3</w:t>
            </w:r>
            <w:r>
              <w:rPr>
                <w:rFonts w:hint="eastAsia"/>
              </w:rPr>
              <w:t>.设备应具备电动镜头：焦距2.7-13.5mm。</w:t>
            </w:r>
          </w:p>
          <w:p>
            <w:pPr>
              <w:spacing w:after="0" w:line="320" w:lineRule="exact"/>
              <w:jc w:val="left"/>
            </w:pPr>
            <w:r>
              <w:rPr>
                <w:rFonts w:hint="eastAsia"/>
                <w:lang w:val="en-US" w:eastAsia="zh-CN"/>
              </w:rPr>
              <w:t>4</w:t>
            </w:r>
            <w:r>
              <w:rPr>
                <w:rFonts w:hint="eastAsia"/>
              </w:rPr>
              <w:t>.设备应支持人脸抓拍</w:t>
            </w:r>
            <w:r>
              <w:rPr>
                <w:rFonts w:hint="eastAsia"/>
                <w:lang w:eastAsia="zh-CN"/>
              </w:rPr>
              <w:t>、</w:t>
            </w:r>
            <w:r>
              <w:rPr>
                <w:rFonts w:hint="eastAsia"/>
              </w:rPr>
              <w:t>支持对设定区域内移动的人脸图片进行检测和抓拍；人脸抓拍上报延时≤1s。</w:t>
            </w:r>
          </w:p>
          <w:p>
            <w:pPr>
              <w:spacing w:after="0" w:line="320" w:lineRule="exact"/>
              <w:jc w:val="left"/>
              <w:rPr>
                <w:rFonts w:hint="eastAsia" w:eastAsiaTheme="minorEastAsia"/>
                <w:lang w:val="en-US" w:eastAsia="zh-CN"/>
              </w:rPr>
            </w:pPr>
            <w:r>
              <w:rPr>
                <w:rFonts w:hint="eastAsia"/>
                <w:lang w:val="en-US" w:eastAsia="zh-CN"/>
              </w:rPr>
              <w:t>5</w:t>
            </w:r>
            <w:r>
              <w:rPr>
                <w:rFonts w:hint="eastAsia"/>
              </w:rPr>
              <w:t>.供电方式DC12V/POE；防护等级IP67。</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hint="eastAsia" w:ascii="宋体" w:hAnsi="宋体" w:cs="宋体"/>
                <w:color w:val="000000"/>
                <w:sz w:val="24"/>
                <w:lang w:eastAsia="zh-CN"/>
              </w:rPr>
            </w:pPr>
            <w:r>
              <w:rPr>
                <w:rFonts w:hint="eastAsia" w:ascii="宋体" w:hAnsi="宋体" w:cs="宋体"/>
                <w:color w:val="000000"/>
                <w:sz w:val="24"/>
                <w:lang w:val="en-US" w:eastAsia="zh-CN"/>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2</w:t>
            </w:r>
          </w:p>
        </w:tc>
        <w:tc>
          <w:tcPr>
            <w:tcW w:w="1303" w:type="dxa"/>
            <w:vAlign w:val="center"/>
          </w:tcPr>
          <w:p>
            <w:pPr>
              <w:jc w:val="center"/>
              <w:rPr>
                <w:rFonts w:ascii="宋体" w:hAnsi="宋体"/>
                <w:color w:val="000000"/>
                <w:sz w:val="24"/>
              </w:rPr>
            </w:pPr>
            <w:r>
              <w:rPr>
                <w:rFonts w:hint="eastAsia" w:ascii="宋体" w:hAnsi="宋体"/>
                <w:color w:val="000000"/>
                <w:sz w:val="24"/>
              </w:rPr>
              <w:t>人脸识别算法模块</w:t>
            </w:r>
          </w:p>
        </w:tc>
        <w:tc>
          <w:tcPr>
            <w:tcW w:w="6405" w:type="dxa"/>
            <w:vAlign w:val="center"/>
          </w:tcPr>
          <w:p>
            <w:pPr>
              <w:spacing w:after="0" w:line="320" w:lineRule="exact"/>
              <w:jc w:val="left"/>
              <w:rPr>
                <w:rFonts w:ascii="宋体" w:hAnsi="宋体" w:cs="宋体"/>
                <w:color w:val="000000"/>
                <w:sz w:val="21"/>
                <w:szCs w:val="21"/>
              </w:rPr>
            </w:pPr>
            <w:r>
              <w:rPr>
                <w:rFonts w:hint="eastAsia" w:ascii="宋体" w:hAnsi="宋体" w:cs="宋体"/>
                <w:color w:val="000000"/>
                <w:sz w:val="21"/>
                <w:szCs w:val="21"/>
              </w:rPr>
              <w:t>设备应支持接入16路1080P视频流解析，支持人脸识别，视频结构化算法。</w:t>
            </w:r>
          </w:p>
          <w:p>
            <w:pPr>
              <w:spacing w:after="0" w:line="320" w:lineRule="exact"/>
              <w:jc w:val="left"/>
              <w:rPr>
                <w:rFonts w:ascii="宋体" w:hAns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rPr>
              <w:t>.设备应支持人脸比对功能：支持1：1及1：N人脸比对功能。1：N人脸比对可展示比分前五位人脸图像。</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.设备应能对瞳间距为20像素至380像素的人脸图像和水平转动角不超过±60°、俯仰角不超过±60°、倾斜角不超过±60°的人脸图像进行抓拍。</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3</w:t>
            </w:r>
            <w:r>
              <w:rPr>
                <w:rFonts w:ascii="宋体" w:hAnsi="宋体" w:cs="宋体"/>
                <w:color w:val="000000"/>
                <w:sz w:val="21"/>
                <w:szCs w:val="21"/>
              </w:rPr>
              <w:t>.</w:t>
            </w:r>
            <w:r>
              <w:rPr>
                <w:rFonts w:hint="eastAsia" w:ascii="宋体" w:hAnsi="宋体" w:cs="宋体"/>
                <w:color w:val="000000"/>
                <w:sz w:val="21"/>
                <w:szCs w:val="21"/>
              </w:rPr>
              <w:t>设备应支持对人脸遮挡不大于1/3的人脸图像进行抓拍。</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rPr>
              <w:t>.设备应支持</w:t>
            </w:r>
            <w:r>
              <w:rPr>
                <w:rFonts w:hint="eastAsia" w:ascii="宋体" w:hAnsi="宋体" w:cs="宋体"/>
                <w:color w:val="000000"/>
                <w:sz w:val="21"/>
                <w:szCs w:val="21"/>
                <w:lang w:val="en-US" w:eastAsia="zh-CN"/>
              </w:rPr>
              <w:t>本地存储</w:t>
            </w:r>
            <w:r>
              <w:rPr>
                <w:rFonts w:hint="eastAsia" w:ascii="宋体" w:hAnsi="宋体" w:cs="宋体"/>
                <w:color w:val="000000"/>
                <w:sz w:val="21"/>
                <w:szCs w:val="21"/>
              </w:rPr>
              <w:t>容量≥</w:t>
            </w:r>
            <w:r>
              <w:rPr>
                <w:rFonts w:hint="eastAsia" w:ascii="宋体" w:hAnsi="宋体" w:cs="宋体"/>
                <w:color w:val="000000"/>
                <w:sz w:val="21"/>
                <w:szCs w:val="21"/>
                <w:lang w:val="en-US" w:eastAsia="zh-CN"/>
              </w:rPr>
              <w:t>10</w:t>
            </w:r>
            <w:r>
              <w:rPr>
                <w:rFonts w:hint="eastAsia" w:ascii="宋体" w:hAnsi="宋体" w:cs="宋体"/>
                <w:color w:val="000000"/>
                <w:sz w:val="21"/>
                <w:szCs w:val="21"/>
              </w:rPr>
              <w:t>万。</w:t>
            </w:r>
          </w:p>
          <w:p>
            <w:pPr>
              <w:spacing w:after="0" w:line="320" w:lineRule="exact"/>
              <w:jc w:val="left"/>
              <w:rPr>
                <w:rFonts w:hint="eastAsia"/>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.设备应具备1个RJ45接口、1个USB接口、1个电源接口、1个复位按键。</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台</w:t>
            </w:r>
          </w:p>
        </w:tc>
        <w:tc>
          <w:tcPr>
            <w:tcW w:w="750" w:type="dxa"/>
            <w:vAlign w:val="center"/>
          </w:tcPr>
          <w:p>
            <w:pPr>
              <w:jc w:val="center"/>
              <w:rPr>
                <w:rFonts w:ascii="宋体" w:hAnsi="宋体" w:cs="宋体"/>
                <w:color w:val="000000"/>
                <w:sz w:val="24"/>
              </w:rPr>
            </w:pPr>
            <w:r>
              <w:rPr>
                <w:rFonts w:hint="eastAsia" w:ascii="宋体" w:hAnsi="宋体" w:cs="宋体"/>
                <w:color w:val="000000"/>
                <w:sz w:val="24"/>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3</w:t>
            </w:r>
          </w:p>
        </w:tc>
        <w:tc>
          <w:tcPr>
            <w:tcW w:w="1303" w:type="dxa"/>
            <w:vAlign w:val="center"/>
          </w:tcPr>
          <w:p>
            <w:pPr>
              <w:jc w:val="center"/>
              <w:rPr>
                <w:rFonts w:ascii="宋体" w:hAnsi="宋体"/>
                <w:color w:val="000000"/>
                <w:sz w:val="24"/>
              </w:rPr>
            </w:pPr>
            <w:r>
              <w:rPr>
                <w:rFonts w:hint="eastAsia" w:ascii="宋体" w:hAnsi="宋体"/>
                <w:color w:val="000000"/>
                <w:sz w:val="24"/>
              </w:rPr>
              <w:t>身份证阅读器</w:t>
            </w:r>
          </w:p>
        </w:tc>
        <w:tc>
          <w:tcPr>
            <w:tcW w:w="6405" w:type="dxa"/>
            <w:vAlign w:val="center"/>
          </w:tcPr>
          <w:p>
            <w:pPr>
              <w:spacing w:after="0" w:line="320" w:lineRule="exact"/>
              <w:jc w:val="left"/>
              <w:rPr>
                <w:rFonts w:ascii="宋体" w:hAnsi="宋体" w:cs="宋体"/>
                <w:color w:val="000000"/>
                <w:sz w:val="21"/>
                <w:szCs w:val="21"/>
              </w:rPr>
            </w:pPr>
            <w:r>
              <w:rPr>
                <w:rFonts w:hint="eastAsia" w:ascii="宋体" w:hAnsi="宋体" w:cs="宋体"/>
                <w:color w:val="000000"/>
                <w:sz w:val="21"/>
                <w:szCs w:val="21"/>
              </w:rPr>
              <w:t>1.CPU：72MHz 32bit高性能处理器以上。</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rPr>
              <w:t>2.存储器：64KB Flash，20KB RAM以上。</w:t>
            </w:r>
          </w:p>
          <w:p>
            <w:pPr>
              <w:spacing w:after="0" w:line="320" w:lineRule="exact"/>
              <w:jc w:val="left"/>
              <w:rPr>
                <w:rFonts w:hint="eastAsia" w:ascii="宋体" w:hAnsi="宋体" w:cs="宋体"/>
                <w:sz w:val="21"/>
                <w:szCs w:val="21"/>
              </w:rPr>
            </w:pPr>
            <w:r>
              <w:rPr>
                <w:rFonts w:hint="eastAsia" w:ascii="宋体" w:hAnsi="宋体" w:cs="宋体"/>
                <w:color w:val="000000"/>
                <w:sz w:val="21"/>
                <w:szCs w:val="21"/>
              </w:rPr>
              <w:t>3.</w:t>
            </w:r>
            <w:r>
              <w:rPr>
                <w:rFonts w:hint="eastAsia" w:ascii="宋体" w:hAnsi="宋体" w:cs="宋体"/>
                <w:sz w:val="21"/>
                <w:szCs w:val="21"/>
              </w:rPr>
              <w:t>数据安全符合国密算法和公安部授权要求</w:t>
            </w:r>
          </w:p>
          <w:p>
            <w:pPr>
              <w:spacing w:after="0" w:line="320" w:lineRule="exact"/>
              <w:jc w:val="left"/>
              <w:rPr>
                <w:rFonts w:ascii="宋体" w:hAnsi="宋体" w:cs="宋体"/>
                <w:color w:val="000000"/>
                <w:sz w:val="21"/>
                <w:szCs w:val="21"/>
              </w:rPr>
            </w:pPr>
            <w:r>
              <w:rPr>
                <w:rFonts w:ascii="宋体" w:hAnsi="宋体" w:cs="宋体"/>
                <w:sz w:val="21"/>
                <w:szCs w:val="21"/>
              </w:rPr>
              <w:t>4</w:t>
            </w:r>
            <w:r>
              <w:rPr>
                <w:rFonts w:hint="eastAsia" w:ascii="宋体" w:hAnsi="宋体" w:cs="宋体"/>
                <w:sz w:val="21"/>
                <w:szCs w:val="21"/>
              </w:rPr>
              <w:t xml:space="preserve">.读卡距离：0-5cm ；阅读时间 ≤1秒 </w:t>
            </w:r>
            <w:r>
              <w:rPr>
                <w:rFonts w:hint="eastAsia" w:ascii="宋体" w:hAnsi="宋体" w:cs="宋体"/>
                <w:color w:val="000000"/>
                <w:sz w:val="21"/>
                <w:szCs w:val="21"/>
              </w:rPr>
              <w:t>。</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.蜂鸣器：300-2300Hz 。</w:t>
            </w:r>
          </w:p>
          <w:p>
            <w:pPr>
              <w:spacing w:after="0" w:line="320" w:lineRule="exact"/>
              <w:jc w:val="left"/>
              <w:rPr>
                <w:rFonts w:hint="eastAsia" w:ascii="宋体" w:hAnsi="宋体" w:cs="宋体"/>
                <w:color w:val="000000"/>
                <w:sz w:val="21"/>
                <w:szCs w:val="21"/>
              </w:rPr>
            </w:pPr>
            <w:r>
              <w:rPr>
                <w:rFonts w:hint="eastAsia" w:ascii="宋体" w:hAnsi="宋体" w:cs="宋体"/>
                <w:color w:val="000000"/>
                <w:sz w:val="21"/>
                <w:szCs w:val="21"/>
                <w:lang w:val="en-US" w:eastAsia="zh-CN"/>
              </w:rPr>
              <w:t>6</w:t>
            </w:r>
            <w:r>
              <w:rPr>
                <w:rFonts w:hint="eastAsia" w:ascii="宋体" w:hAnsi="宋体" w:cs="宋体"/>
                <w:color w:val="000000"/>
                <w:sz w:val="21"/>
                <w:szCs w:val="21"/>
              </w:rPr>
              <w:t>.电源：DC 5V ，USB接口供电，或外置电源适配器供电 。</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7</w:t>
            </w:r>
            <w:r>
              <w:rPr>
                <w:rFonts w:hint="eastAsia" w:ascii="宋体" w:hAnsi="宋体" w:cs="宋体"/>
                <w:color w:val="000000"/>
                <w:sz w:val="21"/>
                <w:szCs w:val="21"/>
              </w:rPr>
              <w:t>.无故障工作时间 ：≥</w:t>
            </w:r>
            <w:r>
              <w:rPr>
                <w:rFonts w:hint="eastAsia" w:ascii="宋体" w:hAnsi="宋体" w:cs="宋体"/>
                <w:sz w:val="21"/>
                <w:szCs w:val="21"/>
              </w:rPr>
              <w:t xml:space="preserve">10000小时 </w:t>
            </w:r>
            <w:r>
              <w:rPr>
                <w:rFonts w:hint="eastAsia" w:ascii="宋体" w:hAnsi="宋体" w:cs="宋体"/>
                <w:color w:val="000000"/>
                <w:sz w:val="21"/>
                <w:szCs w:val="21"/>
              </w:rPr>
              <w:t>。</w:t>
            </w:r>
          </w:p>
          <w:p>
            <w:pPr>
              <w:spacing w:after="0" w:line="320" w:lineRule="exact"/>
              <w:jc w:val="left"/>
              <w:rPr>
                <w:rFonts w:ascii="新宋体" w:hAnsi="新宋体" w:eastAsia="新宋体" w:cs="宋体"/>
                <w:b/>
                <w:bCs/>
                <w:color w:val="000000"/>
                <w:sz w:val="21"/>
                <w:szCs w:val="21"/>
              </w:rPr>
            </w:pPr>
            <w:r>
              <w:rPr>
                <w:rFonts w:hint="eastAsia" w:ascii="宋体" w:hAnsi="宋体" w:cs="宋体"/>
                <w:color w:val="000000"/>
                <w:sz w:val="21"/>
                <w:szCs w:val="21"/>
                <w:lang w:val="en-US" w:eastAsia="zh-CN"/>
              </w:rPr>
              <w:t>8</w:t>
            </w:r>
            <w:r>
              <w:rPr>
                <w:rFonts w:hint="eastAsia" w:ascii="宋体" w:hAnsi="宋体" w:cs="宋体"/>
                <w:color w:val="000000"/>
                <w:sz w:val="21"/>
                <w:szCs w:val="21"/>
              </w:rPr>
              <w:t>.技术标准：GA 450-2013台式居民身份证阅读器通用技术要求，GA467-2013居民身份证验证安全控制模块接口技术规范。</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lang w:val="en-US" w:eastAsia="zh-CN"/>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二、</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Cs w:val="20"/>
              </w:rPr>
            </w:pPr>
            <w:r>
              <w:rPr>
                <w:rFonts w:hint="eastAsia" w:ascii="新宋体" w:hAnsi="新宋体" w:eastAsia="新宋体" w:cs="宋体"/>
                <w:b/>
                <w:bCs/>
                <w:color w:val="000000"/>
                <w:szCs w:val="20"/>
              </w:rPr>
              <w:t>软件平台</w:t>
            </w:r>
          </w:p>
        </w:tc>
        <w:tc>
          <w:tcPr>
            <w:tcW w:w="640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1"/>
                <w:szCs w:val="21"/>
              </w:rPr>
            </w:pP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s="宋体"/>
                <w:color w:val="000000"/>
                <w:sz w:val="24"/>
              </w:rPr>
            </w:pPr>
            <w:r>
              <w:rPr>
                <w:rFonts w:hint="eastAsia" w:ascii="宋体" w:hAnsi="宋体" w:cs="宋体"/>
                <w:color w:val="000000"/>
                <w:sz w:val="24"/>
              </w:rPr>
              <w:t>新生迎新</w:t>
            </w:r>
          </w:p>
          <w:p>
            <w:pPr>
              <w:jc w:val="center"/>
              <w:rPr>
                <w:rFonts w:ascii="宋体" w:hAnsi="宋体" w:cs="宋体"/>
                <w:color w:val="000000"/>
                <w:sz w:val="24"/>
              </w:rPr>
            </w:pPr>
            <w:r>
              <w:rPr>
                <w:rFonts w:hint="eastAsia" w:ascii="宋体" w:hAnsi="宋体" w:cs="宋体"/>
                <w:color w:val="000000"/>
                <w:sz w:val="24"/>
              </w:rPr>
              <w:t>核对系统</w:t>
            </w:r>
          </w:p>
        </w:tc>
        <w:tc>
          <w:tcPr>
            <w:tcW w:w="6405" w:type="dxa"/>
            <w:vAlign w:val="center"/>
          </w:tcPr>
          <w:p>
            <w:pPr>
              <w:spacing w:after="0" w:line="320" w:lineRule="exact"/>
              <w:ind w:firstLine="0" w:firstLineChars="0"/>
              <w:rPr>
                <w:rFonts w:hint="eastAsia" w:ascii="宋体" w:hAnsi="宋体" w:cs="宋体"/>
                <w:color w:val="000000"/>
                <w:sz w:val="21"/>
                <w:szCs w:val="21"/>
              </w:rPr>
            </w:pPr>
            <w:r>
              <w:rPr>
                <w:rFonts w:hint="eastAsia" w:ascii="宋体" w:hAnsi="宋体" w:cs="宋体"/>
                <w:color w:val="000000"/>
                <w:sz w:val="21"/>
                <w:szCs w:val="21"/>
              </w:rPr>
              <w:t>系统具体功能应至少支持以下功能：</w:t>
            </w:r>
          </w:p>
          <w:p>
            <w:pPr>
              <w:spacing w:after="0" w:line="320" w:lineRule="exact"/>
              <w:rPr>
                <w:rFonts w:ascii="宋体" w:hAnsi="宋体" w:cs="宋体"/>
                <w:color w:val="000000"/>
                <w:sz w:val="21"/>
                <w:szCs w:val="21"/>
              </w:rPr>
            </w:pPr>
            <w:r>
              <w:rPr>
                <w:rFonts w:hint="eastAsia" w:ascii="宋体" w:hAnsi="宋体" w:cs="宋体"/>
                <w:color w:val="000000"/>
                <w:sz w:val="21"/>
                <w:szCs w:val="21"/>
              </w:rPr>
              <w:t>1.支持迎新管理：系统提供所有迎新记录的查询，每条记录支持查看签到记录，现场监控，数据统计。支持迎新时间、批次、院系、</w:t>
            </w:r>
            <w:r>
              <w:rPr>
                <w:rFonts w:hint="eastAsia" w:ascii="宋体" w:hAnsi="宋体" w:cs="宋体"/>
                <w:color w:val="000000"/>
                <w:sz w:val="21"/>
                <w:szCs w:val="21"/>
                <w:lang w:val="en-US" w:eastAsia="zh-CN"/>
              </w:rPr>
              <w:t>考生号</w:t>
            </w:r>
            <w:r>
              <w:rPr>
                <w:rFonts w:hint="eastAsia" w:ascii="宋体" w:hAnsi="宋体" w:cs="宋体"/>
                <w:color w:val="000000"/>
                <w:sz w:val="21"/>
                <w:szCs w:val="21"/>
              </w:rPr>
              <w:t>、专业等组合查询方式，</w:t>
            </w:r>
            <w:r>
              <w:rPr>
                <w:rFonts w:hint="eastAsia" w:ascii="宋体" w:hAnsi="宋体" w:cs="宋体"/>
                <w:sz w:val="21"/>
                <w:szCs w:val="21"/>
              </w:rPr>
              <w:t>以供学校领导和老师参考，提高所有新生管理情况。</w:t>
            </w:r>
          </w:p>
          <w:p>
            <w:pPr>
              <w:spacing w:after="0" w:line="320" w:lineRule="exact"/>
              <w:rPr>
                <w:rFonts w:ascii="宋体" w:hAnsi="宋体" w:cs="宋体"/>
                <w:color w:val="000000"/>
                <w:sz w:val="21"/>
                <w:szCs w:val="21"/>
              </w:rPr>
            </w:pPr>
            <w:r>
              <w:rPr>
                <w:rFonts w:hint="eastAsia" w:ascii="宋体" w:hAnsi="宋体" w:cs="宋体"/>
                <w:color w:val="000000"/>
                <w:sz w:val="21"/>
                <w:szCs w:val="21"/>
              </w:rPr>
              <w:t>2.支持发布迎新：系统发布迎新信息，</w:t>
            </w:r>
            <w:r>
              <w:rPr>
                <w:rFonts w:hint="eastAsia" w:ascii="宋体" w:hAnsi="宋体" w:cs="宋体"/>
                <w:sz w:val="21"/>
                <w:szCs w:val="21"/>
              </w:rPr>
              <w:t>确定迎新标题、时间、地点和新生信息，</w:t>
            </w:r>
            <w:r>
              <w:rPr>
                <w:rFonts w:hint="eastAsia" w:ascii="宋体" w:hAnsi="宋体" w:cs="宋体"/>
                <w:sz w:val="21"/>
                <w:szCs w:val="21"/>
                <w:lang w:val="en-US" w:eastAsia="zh-CN"/>
              </w:rPr>
              <w:t>支持</w:t>
            </w:r>
            <w:r>
              <w:rPr>
                <w:rFonts w:hint="eastAsia" w:ascii="宋体" w:hAnsi="宋体" w:cs="宋体"/>
                <w:color w:val="000000"/>
                <w:sz w:val="21"/>
                <w:szCs w:val="21"/>
              </w:rPr>
              <w:t>新生信息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含文本、照片等信息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批量</w:t>
            </w:r>
            <w:r>
              <w:rPr>
                <w:rFonts w:hint="eastAsia" w:ascii="宋体" w:hAnsi="宋体" w:cs="宋体"/>
                <w:color w:val="000000"/>
                <w:sz w:val="21"/>
                <w:szCs w:val="21"/>
              </w:rPr>
              <w:t>导入系统，生成迎新</w:t>
            </w:r>
            <w:r>
              <w:rPr>
                <w:rFonts w:hint="eastAsia" w:ascii="宋体" w:hAnsi="宋体" w:cs="宋体"/>
                <w:color w:val="000000"/>
                <w:sz w:val="21"/>
                <w:szCs w:val="21"/>
                <w:lang w:val="en-US" w:eastAsia="zh-CN"/>
              </w:rPr>
              <w:t>任务</w:t>
            </w:r>
            <w:r>
              <w:rPr>
                <w:rFonts w:hint="eastAsia" w:ascii="宋体" w:hAnsi="宋体" w:cs="宋体"/>
                <w:color w:val="000000"/>
                <w:sz w:val="21"/>
                <w:szCs w:val="21"/>
              </w:rPr>
              <w:t>。</w:t>
            </w:r>
          </w:p>
          <w:p>
            <w:pPr>
              <w:spacing w:after="0" w:line="320" w:lineRule="exact"/>
              <w:rPr>
                <w:rFonts w:ascii="宋体" w:hAnsi="宋体" w:cs="宋体"/>
                <w:sz w:val="21"/>
                <w:szCs w:val="21"/>
              </w:rPr>
            </w:pPr>
            <w:r>
              <w:rPr>
                <w:rFonts w:hint="eastAsia" w:ascii="宋体" w:hAnsi="宋体" w:cs="宋体"/>
                <w:sz w:val="21"/>
                <w:szCs w:val="21"/>
              </w:rPr>
              <w:t>3.支持签到记录：系统提供所有学生的签到记录，支持姓名、是否签到、批次、学院和校区的筛选方式，筛选签到信息，并支持导出以供学校领导和老师参考。</w:t>
            </w:r>
          </w:p>
          <w:p>
            <w:pPr>
              <w:spacing w:after="0" w:line="320" w:lineRule="exact"/>
              <w:rPr>
                <w:sz w:val="21"/>
                <w:szCs w:val="21"/>
              </w:rPr>
            </w:pPr>
            <w:r>
              <w:rPr>
                <w:rFonts w:hint="eastAsia" w:ascii="宋体" w:hAnsi="宋体" w:cs="宋体"/>
                <w:sz w:val="21"/>
                <w:szCs w:val="21"/>
              </w:rPr>
              <w:t>4.支持学生现场照采集：系统提供现场照抓拍保存功能，通过认证后，获取现场照保存到系统，支持按照学号或者身份证号查询，支持批量导出等。</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套</w:t>
            </w:r>
          </w:p>
        </w:tc>
        <w:tc>
          <w:tcPr>
            <w:tcW w:w="750"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lang w:val="en-US" w:eastAsia="zh-CN"/>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31" w:type="dxa"/>
            <w:gridSpan w:val="2"/>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新宋体" w:hAnsi="新宋体" w:eastAsia="新宋体" w:cs="宋体"/>
                <w:b/>
                <w:bCs/>
                <w:color w:val="000000"/>
                <w:sz w:val="20"/>
                <w:szCs w:val="20"/>
                <w:lang w:eastAsia="zh-CN"/>
              </w:rPr>
            </w:pPr>
            <w:r>
              <w:rPr>
                <w:rFonts w:hint="eastAsia" w:ascii="新宋体" w:hAnsi="新宋体" w:eastAsia="新宋体" w:cs="宋体"/>
                <w:b/>
                <w:bCs/>
                <w:color w:val="000000"/>
                <w:sz w:val="20"/>
                <w:szCs w:val="20"/>
                <w:lang w:val="en-US" w:eastAsia="zh-CN"/>
              </w:rPr>
              <w:t>合计</w:t>
            </w:r>
          </w:p>
        </w:tc>
        <w:tc>
          <w:tcPr>
            <w:tcW w:w="12100" w:type="dxa"/>
            <w:gridSpan w:val="8"/>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新宋体" w:hAnsi="新宋体" w:eastAsia="新宋体" w:cs="宋体"/>
                <w:b/>
                <w:bCs/>
                <w:color w:val="000000"/>
                <w:sz w:val="20"/>
                <w:szCs w:val="20"/>
              </w:rPr>
            </w:pPr>
            <w:r>
              <w:rPr>
                <w:rFonts w:hint="eastAsia" w:cs="仿宋_GB2312" w:asciiTheme="minorEastAsia" w:hAnsiTheme="minorEastAsia"/>
                <w:sz w:val="24"/>
                <w:szCs w:val="24"/>
              </w:rPr>
              <w:t xml:space="preserve">合计（含税）：大写人民币 </w:t>
            </w:r>
            <w:r>
              <w:rPr>
                <w:rFonts w:cs="仿宋_GB2312" w:asciiTheme="minorEastAsia" w:hAnsiTheme="minorEastAsia"/>
                <w:sz w:val="24"/>
                <w:szCs w:val="24"/>
              </w:rPr>
              <w:t xml:space="preserve">             </w:t>
            </w:r>
            <w:r>
              <w:rPr>
                <w:rFonts w:hint="eastAsia" w:cs="仿宋_GB2312" w:asciiTheme="minorEastAsia" w:hAnsiTheme="minorEastAsia"/>
                <w:sz w:val="24"/>
                <w:szCs w:val="24"/>
              </w:rPr>
              <w:t>小写￥</w:t>
            </w:r>
          </w:p>
        </w:tc>
      </w:tr>
    </w:tbl>
    <w:p>
      <w:pPr>
        <w:spacing w:after="0" w:line="240" w:lineRule="auto"/>
        <w:rPr>
          <w:rFonts w:ascii="仿宋" w:hAnsi="仿宋" w:eastAsia="仿宋" w:cs="宋体"/>
          <w:color w:val="000000"/>
          <w:sz w:val="24"/>
          <w:szCs w:val="24"/>
        </w:rPr>
      </w:pPr>
      <w:r>
        <w:rPr>
          <w:rFonts w:hint="eastAsia" w:ascii="仿宋" w:hAnsi="仿宋" w:eastAsia="仿宋" w:cs="宋体"/>
          <w:color w:val="000000"/>
          <w:sz w:val="24"/>
          <w:szCs w:val="24"/>
        </w:rPr>
        <w:t>说明：1、此报价表采用</w:t>
      </w:r>
      <w:bookmarkStart w:id="9" w:name="_Hlk44416240"/>
      <w:r>
        <w:rPr>
          <w:rFonts w:hint="eastAsia" w:ascii="仿宋" w:hAnsi="仿宋" w:eastAsia="仿宋" w:cs="宋体"/>
          <w:color w:val="000000"/>
          <w:sz w:val="24"/>
          <w:szCs w:val="24"/>
        </w:rPr>
        <w:t>全费用包干总价</w:t>
      </w:r>
      <w:bookmarkEnd w:id="9"/>
      <w:r>
        <w:rPr>
          <w:rFonts w:hint="eastAsia" w:ascii="仿宋" w:hAnsi="仿宋" w:eastAsia="仿宋" w:cs="宋体"/>
          <w:color w:val="000000"/>
          <w:sz w:val="24"/>
          <w:szCs w:val="24"/>
        </w:rPr>
        <w:t>进行结算。</w:t>
      </w:r>
    </w:p>
    <w:p>
      <w:pPr>
        <w:spacing w:after="0" w:line="240" w:lineRule="auto"/>
        <w:ind w:left="708" w:leftChars="322"/>
        <w:rPr>
          <w:rFonts w:ascii="仿宋" w:hAnsi="仿宋" w:eastAsia="仿宋" w:cs="宋体"/>
          <w:color w:val="000000"/>
          <w:sz w:val="24"/>
          <w:szCs w:val="24"/>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pStyle w:val="17"/>
        <w:spacing w:line="500" w:lineRule="exact"/>
        <w:ind w:firstLine="560" w:firstLineChars="200"/>
        <w:rPr>
          <w:rFonts w:ascii="仿宋" w:hAnsi="仿宋" w:eastAsia="仿宋"/>
          <w:color w:val="000000"/>
          <w:sz w:val="28"/>
        </w:rPr>
      </w:pPr>
    </w:p>
    <w:p>
      <w:pPr>
        <w:snapToGrid w:val="0"/>
        <w:spacing w:after="0" w:line="360" w:lineRule="auto"/>
        <w:rPr>
          <w:rFonts w:ascii="仿宋" w:hAnsi="仿宋" w:eastAsia="仿宋" w:cs="仿宋"/>
          <w:color w:val="000000" w:themeColor="text1"/>
          <w:sz w:val="28"/>
          <w:szCs w:val="28"/>
          <w14:textFill>
            <w14:solidFill>
              <w14:schemeClr w14:val="tx1"/>
            </w14:solidFill>
          </w14:textFill>
        </w:rPr>
        <w:sectPr>
          <w:headerReference r:id="rId8" w:type="first"/>
          <w:headerReference r:id="rId7" w:type="default"/>
          <w:pgSz w:w="16840" w:h="11907" w:orient="landscape"/>
          <w:pgMar w:top="1134" w:right="2286" w:bottom="1418" w:left="1134" w:header="567" w:footer="284" w:gutter="0"/>
          <w:cols w:space="425" w:num="1"/>
          <w:titlePg/>
          <w:docGrid w:type="lines" w:linePitch="312" w:charSpace="0"/>
        </w:sectPr>
      </w:pPr>
    </w:p>
    <w:p>
      <w:r>
        <w:drawing>
          <wp:inline distT="0" distB="0" distL="0" distR="0">
            <wp:extent cx="5941060" cy="132461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both"/>
        <w:rPr>
          <w:rFonts w:ascii="仿宋" w:hAnsi="仿宋" w:eastAsia="仿宋"/>
          <w:b/>
          <w:color w:val="000000" w:themeColor="text1"/>
          <w:sz w:val="44"/>
          <w:szCs w:val="44"/>
          <w14:textFill>
            <w14:solidFill>
              <w14:schemeClr w14:val="tx1"/>
            </w14:solidFill>
          </w14:textFill>
        </w:rPr>
      </w:pPr>
    </w:p>
    <w:p>
      <w:pPr>
        <w:spacing w:line="100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关于入学资格复核平台采购项目项目</w:t>
      </w:r>
    </w:p>
    <w:p>
      <w:pPr>
        <w:spacing w:line="580" w:lineRule="exact"/>
        <w:jc w:val="center"/>
        <w:rPr>
          <w:rFonts w:ascii="仿宋" w:hAnsi="仿宋" w:eastAsia="仿宋"/>
          <w:b/>
          <w:color w:val="000000" w:themeColor="text1"/>
          <w:sz w:val="52"/>
          <w:szCs w:val="52"/>
          <w14:textFill>
            <w14:solidFill>
              <w14:schemeClr w14:val="tx1"/>
            </w14:solidFill>
          </w14:textFill>
        </w:rPr>
      </w:pPr>
    </w:p>
    <w:p>
      <w:pPr>
        <w:pStyle w:val="2"/>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hint="eastAsia"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pStyle w:val="2"/>
      </w:pPr>
    </w:p>
    <w:p>
      <w:pPr>
        <w:rPr>
          <w:rFonts w:ascii="仿宋" w:hAnsi="仿宋" w:eastAsia="仿宋"/>
          <w:b/>
          <w:bCs/>
          <w:color w:val="000000" w:themeColor="text1"/>
          <w:sz w:val="30"/>
          <w:szCs w:val="30"/>
          <w14:textFill>
            <w14:solidFill>
              <w14:schemeClr w14:val="tx1"/>
            </w14:solidFill>
          </w14:textFill>
        </w:rPr>
        <w:sectPr>
          <w:headerReference r:id="rId9"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8"/>
          <w:szCs w:val="28"/>
          <w14:textFill>
            <w14:solidFill>
              <w14:schemeClr w14:val="tx1"/>
            </w14:solidFill>
          </w14:textFill>
        </w:rPr>
      </w:pPr>
      <w:bookmarkStart w:id="10" w:name="_Toc182805217"/>
      <w:bookmarkStart w:id="11" w:name="_Toc254790899"/>
      <w:bookmarkStart w:id="12" w:name="_Toc181436461"/>
      <w:bookmarkStart w:id="13" w:name="_Toc266870432"/>
      <w:bookmarkStart w:id="14" w:name="_Toc211917116"/>
      <w:bookmarkStart w:id="15" w:name="_Toc191789329"/>
      <w:bookmarkStart w:id="16" w:name="_Toc191783222"/>
      <w:bookmarkStart w:id="17" w:name="_Toc267060208"/>
      <w:bookmarkStart w:id="18" w:name="_Toc259692740"/>
      <w:bookmarkStart w:id="19" w:name="_Toc182372782"/>
      <w:bookmarkStart w:id="20" w:name="_Toc253066614"/>
      <w:bookmarkStart w:id="21" w:name="_Toc170798793"/>
      <w:bookmarkStart w:id="22" w:name="_Toc219800243"/>
      <w:bookmarkStart w:id="23" w:name="_Toc192663835"/>
      <w:bookmarkStart w:id="24" w:name="_Toc227058530"/>
      <w:bookmarkStart w:id="25" w:name="_Toc160880160"/>
      <w:bookmarkStart w:id="26" w:name="_Toc169332838"/>
      <w:bookmarkStart w:id="27" w:name="_Toc236021449"/>
      <w:bookmarkStart w:id="28" w:name="_Toc191803626"/>
      <w:bookmarkStart w:id="29" w:name="_Toc180302913"/>
      <w:bookmarkStart w:id="30" w:name="_Toc203355733"/>
      <w:bookmarkStart w:id="31" w:name="_Toc235438344"/>
      <w:bookmarkStart w:id="32" w:name="_Toc266870907"/>
      <w:bookmarkStart w:id="33" w:name="_Toc181436565"/>
      <w:bookmarkStart w:id="34" w:name="_Toc160880529"/>
      <w:bookmarkStart w:id="35" w:name="_Toc266870833"/>
      <w:bookmarkStart w:id="36" w:name="_Toc223146608"/>
      <w:bookmarkStart w:id="37" w:name="_Toc213755995"/>
      <w:bookmarkStart w:id="38" w:name="_Toc192996338"/>
      <w:bookmarkStart w:id="39" w:name="_Toc235437991"/>
      <w:bookmarkStart w:id="40" w:name="_Toc213208766"/>
      <w:bookmarkStart w:id="41" w:name="_Toc193165734"/>
      <w:bookmarkStart w:id="42" w:name="_Toc177985469"/>
      <w:bookmarkStart w:id="43" w:name="_Toc235438274"/>
      <w:bookmarkStart w:id="44" w:name="_Toc251586231"/>
      <w:bookmarkStart w:id="45" w:name="_Toc267059653"/>
      <w:bookmarkStart w:id="46" w:name="_Toc191802690"/>
      <w:bookmarkStart w:id="47" w:name="_Toc273178698"/>
      <w:bookmarkStart w:id="48" w:name="_Toc267059539"/>
      <w:bookmarkStart w:id="49" w:name="_Toc192663686"/>
      <w:bookmarkStart w:id="50" w:name="_Toc232302115"/>
      <w:bookmarkStart w:id="51" w:name="_Toc213755939"/>
      <w:bookmarkStart w:id="52" w:name="_Toc258401256"/>
      <w:bookmarkStart w:id="53" w:name="_Toc266868670"/>
      <w:bookmarkStart w:id="54" w:name="_Toc267060068"/>
      <w:bookmarkStart w:id="55" w:name="_Toc267060453"/>
      <w:bookmarkStart w:id="56" w:name="_Toc255975007"/>
      <w:bookmarkStart w:id="57" w:name="_Toc266868937"/>
      <w:bookmarkStart w:id="58" w:name="_Toc230071147"/>
      <w:bookmarkStart w:id="59" w:name="_Toc249325711"/>
      <w:bookmarkStart w:id="60" w:name="_Toc225669322"/>
      <w:bookmarkStart w:id="61" w:name="_Toc193160448"/>
      <w:bookmarkStart w:id="62" w:name="_Toc267059181"/>
      <w:bookmarkStart w:id="63" w:name="_Toc213755858"/>
      <w:bookmarkStart w:id="64" w:name="_Toc169332949"/>
      <w:bookmarkStart w:id="65" w:name="_Toc217891402"/>
      <w:bookmarkStart w:id="66" w:name="_Toc192996446"/>
      <w:bookmarkStart w:id="67" w:name="_Toc259520865"/>
      <w:bookmarkStart w:id="68" w:name="_Toc267059919"/>
      <w:bookmarkStart w:id="69" w:name="_Toc267059806"/>
      <w:bookmarkStart w:id="70" w:name="_Toc251613829"/>
      <w:bookmarkStart w:id="71" w:name="_Toc267059030"/>
      <w:bookmarkStart w:id="72" w:name="_Toc259692647"/>
      <w:bookmarkStart w:id="73" w:name="_Toc213756051"/>
      <w:bookmarkStart w:id="74" w:name="_Toc267060321"/>
      <w:bookmarkStart w:id="75" w:name="_Toc192664153"/>
      <w:r>
        <w:rPr>
          <w:rFonts w:hint="eastAsia" w:ascii="仿宋" w:hAnsi="仿宋" w:eastAsia="仿宋"/>
          <w:b/>
          <w:bCs/>
          <w:color w:val="000000" w:themeColor="text1"/>
          <w:sz w:val="28"/>
          <w:szCs w:val="28"/>
          <w14:textFill>
            <w14:solidFill>
              <w14:schemeClr w14:val="tx1"/>
            </w14:solidFill>
          </w14:textFill>
        </w:rPr>
        <w:t>1、</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Hlk47536799"/>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致：重庆外语外事学院</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根据贵方关于入学资格复核平台采购项目的公开询价邀请（编号）:</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本签字代表</w:t>
      </w:r>
      <w:r>
        <w:rPr>
          <w:rFonts w:hint="eastAsia" w:ascii="仿宋" w:hAnsi="仿宋" w:eastAsia="仿宋"/>
          <w:color w:val="000000" w:themeColor="text1"/>
          <w:sz w:val="28"/>
          <w:szCs w:val="28"/>
          <w:u w:val="single"/>
          <w14:textFill>
            <w14:solidFill>
              <w14:schemeClr w14:val="tx1"/>
            </w14:solidFill>
          </w14:textFill>
        </w:rPr>
        <w:t>（全名、职务）</w:t>
      </w:r>
      <w:r>
        <w:rPr>
          <w:rFonts w:hint="eastAsia" w:ascii="仿宋" w:hAnsi="仿宋" w:eastAsia="仿宋"/>
          <w:color w:val="000000" w:themeColor="text1"/>
          <w:sz w:val="28"/>
          <w:szCs w:val="28"/>
          <w14:textFill>
            <w14:solidFill>
              <w14:schemeClr w14:val="tx1"/>
            </w14:solidFill>
          </w14:textFill>
        </w:rPr>
        <w:t>正式授权并代表我方</w:t>
      </w:r>
      <w:r>
        <w:rPr>
          <w:rFonts w:hint="eastAsia" w:ascii="仿宋" w:hAnsi="仿宋" w:eastAsia="仿宋"/>
          <w:color w:val="000000" w:themeColor="text1"/>
          <w:sz w:val="28"/>
          <w:szCs w:val="28"/>
          <w:u w:val="single"/>
          <w14:textFill>
            <w14:solidFill>
              <w14:schemeClr w14:val="tx1"/>
            </w14:solidFill>
          </w14:textFill>
        </w:rPr>
        <w:t>（参与人公司名称、地址）</w:t>
      </w:r>
      <w:r>
        <w:rPr>
          <w:rFonts w:hint="eastAsia" w:ascii="仿宋" w:hAnsi="仿宋" w:eastAsia="仿宋"/>
          <w:color w:val="000000" w:themeColor="text1"/>
          <w:sz w:val="28"/>
          <w:szCs w:val="28"/>
          <w14:textFill>
            <w14:solidFill>
              <w14:schemeClr w14:val="tx1"/>
            </w14:solidFill>
          </w14:textFill>
        </w:rPr>
        <w:t>提交下述文件正本1份和副本1份。</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 分项报价表</w:t>
      </w:r>
    </w:p>
    <w:p>
      <w:pPr>
        <w:spacing w:after="0" w:line="480" w:lineRule="exact"/>
        <w:ind w:firstLine="565" w:firstLineChars="202"/>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 参与人资格证明文件</w:t>
      </w:r>
    </w:p>
    <w:p>
      <w:pPr>
        <w:spacing w:after="0" w:line="480" w:lineRule="exact"/>
        <w:ind w:firstLine="57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 质保和后期服务承诺书</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据此函，签字代表宣布同意如下：</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1.所附详细报价表中规定的应提供和交付的货物及服务报价总价（国内现场交货价）为人民币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（中文表述）</w:t>
      </w:r>
      <w:r>
        <w:rPr>
          <w:rFonts w:hint="eastAsia" w:ascii="仿宋" w:hAnsi="仿宋" w:eastAsia="仿宋"/>
          <w:color w:val="000000" w:themeColor="text1"/>
          <w:sz w:val="28"/>
          <w:szCs w:val="28"/>
          <w14:textFill>
            <w14:solidFill>
              <w14:schemeClr w14:val="tx1"/>
            </w14:solidFill>
          </w14:textFill>
        </w:rPr>
        <w:t>。</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4.参与人将按公开询价文件的规定履行合同责任和义务。</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.与本此公开询价有关的一切正式往来通讯请寄：</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地址：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邮编：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电话：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传真：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参与人授权代表签字： </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参与人（公司全称并加盖公章）：</w:t>
      </w:r>
    </w:p>
    <w:p>
      <w:pPr>
        <w:pStyle w:val="63"/>
        <w:spacing w:line="480" w:lineRule="exact"/>
        <w:jc w:val="left"/>
        <w:outlineLvl w:val="9"/>
        <w:rPr>
          <w:rFonts w:ascii="仿宋" w:hAnsi="仿宋" w:eastAsia="仿宋"/>
          <w:color w:val="000000" w:themeColor="text1"/>
          <w:szCs w:val="28"/>
          <w14:textFill>
            <w14:solidFill>
              <w14:schemeClr w14:val="tx1"/>
            </w14:solidFill>
          </w14:textFill>
        </w:rPr>
        <w:sectPr>
          <w:headerReference r:id="rId11" w:type="first"/>
          <w:headerReference r:id="rId10" w:type="default"/>
          <w:footerReference r:id="rId12"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Cs w:val="28"/>
          <w14:textFill>
            <w14:solidFill>
              <w14:schemeClr w14:val="tx1"/>
            </w14:solidFill>
          </w14:textFill>
        </w:rPr>
        <w:t xml:space="preserve">      日  期： 年 月 日</w:t>
      </w:r>
      <w:bookmarkEnd w:id="76"/>
    </w:p>
    <w:p>
      <w:pPr>
        <w:keepNext w:val="0"/>
        <w:keepLines w:val="0"/>
        <w:pageBreakBefore w:val="0"/>
        <w:widowControl/>
        <w:kinsoku/>
        <w:wordWrap/>
        <w:overflowPunct/>
        <w:topLinePunct w:val="0"/>
        <w:autoSpaceDE/>
        <w:autoSpaceDN/>
        <w:bidi w:val="0"/>
        <w:adjustRightInd/>
        <w:snapToGrid/>
        <w:spacing w:after="0"/>
        <w:jc w:val="center"/>
        <w:textAlignment w:val="auto"/>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、货物报价一览表</w:t>
      </w:r>
    </w:p>
    <w:p>
      <w:pPr>
        <w:spacing w:line="380" w:lineRule="exact"/>
        <w:ind w:left="147" w:leftChars="67"/>
        <w:rPr>
          <w:rFonts w:ascii="仿宋" w:hAnsi="仿宋" w:eastAsia="仿宋"/>
          <w:sz w:val="28"/>
          <w:szCs w:val="28"/>
        </w:rPr>
      </w:pPr>
      <w:bookmarkStart w:id="77" w:name="_Toc267059035"/>
      <w:bookmarkStart w:id="78" w:name="_Toc235438281"/>
      <w:bookmarkStart w:id="79" w:name="_Toc191802695"/>
      <w:bookmarkStart w:id="80" w:name="_Toc213208771"/>
      <w:bookmarkStart w:id="81" w:name="_Toc267059186"/>
      <w:bookmarkStart w:id="82" w:name="_Toc267060461"/>
      <w:bookmarkStart w:id="83" w:name="_Toc254790909"/>
      <w:bookmarkStart w:id="84" w:name="_Toc203355738"/>
      <w:bookmarkStart w:id="85" w:name="_Toc266870441"/>
      <w:bookmarkStart w:id="86" w:name="_Toc258401265"/>
      <w:bookmarkStart w:id="87" w:name="_Toc182372787"/>
      <w:bookmarkStart w:id="88" w:name="_Toc193160453"/>
      <w:bookmarkStart w:id="89" w:name="_Toc169332843"/>
      <w:bookmarkStart w:id="90" w:name="_Toc266868943"/>
      <w:bookmarkStart w:id="91" w:name="_Toc219800249"/>
      <w:bookmarkStart w:id="92" w:name="_Toc253066624"/>
      <w:bookmarkStart w:id="93" w:name="_Toc266870839"/>
      <w:bookmarkStart w:id="94" w:name="_Toc182805222"/>
      <w:bookmarkStart w:id="95" w:name="_Toc181436466"/>
      <w:bookmarkStart w:id="96" w:name="_Toc177985474"/>
      <w:bookmarkStart w:id="97" w:name="_Toc217891408"/>
      <w:bookmarkStart w:id="98" w:name="_Toc213755945"/>
      <w:bookmarkStart w:id="99" w:name="_Toc225669328"/>
      <w:bookmarkStart w:id="100" w:name="_Toc259692656"/>
      <w:bookmarkStart w:id="101" w:name="_Toc181436570"/>
      <w:bookmarkStart w:id="102" w:name="_Toc267059658"/>
      <w:bookmarkStart w:id="103" w:name="_Toc255975016"/>
      <w:bookmarkStart w:id="104" w:name="_Toc235438352"/>
      <w:bookmarkStart w:id="105" w:name="_Toc249325720"/>
      <w:bookmarkStart w:id="106" w:name="_Toc191789334"/>
      <w:bookmarkStart w:id="107" w:name="_Toc191803631"/>
      <w:bookmarkStart w:id="108" w:name="_Toc160880534"/>
      <w:bookmarkStart w:id="109" w:name="_Toc192663691"/>
      <w:bookmarkStart w:id="110" w:name="_Toc170798798"/>
      <w:bookmarkStart w:id="111" w:name="_Toc259692749"/>
      <w:bookmarkStart w:id="112" w:name="_Toc213756001"/>
      <w:bookmarkStart w:id="113" w:name="_Toc211917121"/>
      <w:bookmarkStart w:id="114" w:name="_Toc191783227"/>
      <w:bookmarkStart w:id="115" w:name="_Toc273178703"/>
      <w:bookmarkStart w:id="116" w:name="_Toc213755864"/>
      <w:bookmarkStart w:id="117" w:name="_Toc266870916"/>
      <w:bookmarkStart w:id="118" w:name="_Toc192663840"/>
      <w:bookmarkStart w:id="119" w:name="_Toc160880165"/>
      <w:bookmarkStart w:id="120" w:name="_Toc236021457"/>
      <w:bookmarkStart w:id="121" w:name="_Toc193165739"/>
      <w:bookmarkStart w:id="122" w:name="_Toc251613839"/>
      <w:bookmarkStart w:id="123" w:name="_Toc266868679"/>
      <w:bookmarkStart w:id="124" w:name="_Toc251586241"/>
      <w:bookmarkStart w:id="125" w:name="_Toc169332954"/>
      <w:bookmarkStart w:id="126" w:name="_Toc267060076"/>
      <w:bookmarkStart w:id="127" w:name="_Toc232302122"/>
      <w:bookmarkStart w:id="128" w:name="_Toc192664158"/>
      <w:bookmarkStart w:id="129" w:name="_Toc223146614"/>
      <w:bookmarkStart w:id="130" w:name="_Toc213756057"/>
      <w:bookmarkStart w:id="131" w:name="_Toc192996343"/>
      <w:bookmarkStart w:id="132" w:name="_Toc180302918"/>
      <w:bookmarkStart w:id="133" w:name="_Toc259520874"/>
      <w:bookmarkStart w:id="134" w:name="_Toc267059924"/>
      <w:bookmarkStart w:id="135" w:name="_Toc267060216"/>
      <w:bookmarkStart w:id="136" w:name="_Toc267059811"/>
      <w:bookmarkStart w:id="137" w:name="_Toc235437998"/>
      <w:bookmarkStart w:id="138" w:name="_Toc230071153"/>
      <w:bookmarkStart w:id="139" w:name="_Toc267060326"/>
      <w:bookmarkStart w:id="140" w:name="_Toc267059544"/>
      <w:bookmarkStart w:id="141" w:name="_Toc192996451"/>
      <w:bookmarkStart w:id="142" w:name="_Toc227058536"/>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line="38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4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303"/>
        <w:gridCol w:w="6521"/>
        <w:gridCol w:w="709"/>
        <w:gridCol w:w="750"/>
        <w:gridCol w:w="769"/>
        <w:gridCol w:w="1087"/>
        <w:gridCol w:w="750"/>
        <w:gridCol w:w="656"/>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1303"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6521"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709"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769"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品牌</w:t>
            </w:r>
          </w:p>
        </w:tc>
        <w:tc>
          <w:tcPr>
            <w:tcW w:w="1087"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规格型号</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656"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85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一、</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宋体" w:hAnsi="宋体" w:cs="宋体"/>
                <w:color w:val="000000"/>
                <w:sz w:val="24"/>
              </w:rPr>
              <w:t>硬件设备</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olor w:val="000000"/>
                <w:sz w:val="24"/>
              </w:rPr>
            </w:pPr>
            <w:r>
              <w:rPr>
                <w:rFonts w:hint="eastAsia" w:ascii="宋体" w:hAnsi="宋体"/>
                <w:color w:val="000000"/>
                <w:sz w:val="24"/>
              </w:rPr>
              <w:t>人脸抓拍摄像机</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hint="eastAsia" w:ascii="宋体" w:hAnsi="宋体" w:cs="宋体"/>
                <w:sz w:val="21"/>
                <w:szCs w:val="21"/>
              </w:rPr>
              <w:t>1.设备应具备传感器类型1/2.8英寸CMOS；像素200万或以上；分辨率≥1920×1080。</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hint="eastAsia" w:ascii="宋体" w:hAnsi="宋体" w:cs="宋体"/>
                <w:sz w:val="21"/>
                <w:szCs w:val="21"/>
              </w:rPr>
              <w:t>2.设备应支持最低照度0.0002Lux（彩色模式）；0.0001Lux（黑白模式）；0Lux（补光灯开启）。</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ascii="宋体" w:hAnsi="宋体" w:cs="宋体"/>
                <w:sz w:val="21"/>
                <w:szCs w:val="21"/>
              </w:rPr>
              <w:t>3</w:t>
            </w:r>
            <w:r>
              <w:rPr>
                <w:rFonts w:hint="eastAsia" w:ascii="宋体" w:hAnsi="宋体" w:cs="宋体"/>
                <w:sz w:val="21"/>
                <w:szCs w:val="21"/>
              </w:rPr>
              <w:t>.设备应具备电动镜头：焦距2.7-13.5mm。</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hint="eastAsia" w:ascii="宋体" w:hAnsi="宋体" w:cs="宋体"/>
                <w:sz w:val="21"/>
                <w:szCs w:val="21"/>
                <w:lang w:val="en-US" w:eastAsia="zh-CN"/>
              </w:rPr>
              <w:t>4</w:t>
            </w:r>
            <w:r>
              <w:rPr>
                <w:rFonts w:hint="eastAsia" w:ascii="宋体" w:hAnsi="宋体" w:cs="宋体"/>
                <w:sz w:val="21"/>
                <w:szCs w:val="21"/>
              </w:rPr>
              <w:t>.设备应支持人脸抓拍</w:t>
            </w:r>
            <w:r>
              <w:rPr>
                <w:rFonts w:hint="eastAsia" w:ascii="宋体" w:hAnsi="宋体" w:cs="宋体"/>
                <w:sz w:val="21"/>
                <w:szCs w:val="21"/>
                <w:lang w:eastAsia="zh-CN"/>
              </w:rPr>
              <w:t>、</w:t>
            </w:r>
            <w:r>
              <w:rPr>
                <w:rFonts w:hint="eastAsia" w:ascii="宋体" w:hAnsi="宋体" w:cs="宋体"/>
                <w:sz w:val="21"/>
                <w:szCs w:val="21"/>
              </w:rPr>
              <w:t>支持对设定区域内移动的人脸图片进行检测和抓拍；人脸抓拍上报延时≤1s。</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sz w:val="21"/>
                <w:szCs w:val="21"/>
              </w:rPr>
            </w:pPr>
            <w:r>
              <w:rPr>
                <w:rFonts w:hint="eastAsia" w:ascii="宋体" w:hAnsi="宋体" w:cs="宋体"/>
                <w:sz w:val="21"/>
                <w:szCs w:val="21"/>
                <w:lang w:val="en-US" w:eastAsia="zh-CN"/>
              </w:rPr>
              <w:t>5</w:t>
            </w:r>
            <w:r>
              <w:rPr>
                <w:rFonts w:hint="eastAsia" w:ascii="宋体" w:hAnsi="宋体" w:cs="宋体"/>
                <w:sz w:val="21"/>
                <w:szCs w:val="21"/>
              </w:rPr>
              <w:t>.供电方式DC12V/POE；防护等级IP67。</w:t>
            </w:r>
          </w:p>
        </w:tc>
        <w:tc>
          <w:tcPr>
            <w:tcW w:w="709"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hint="eastAsia" w:ascii="宋体" w:hAnsi="宋体" w:cs="宋体"/>
                <w:color w:val="000000"/>
                <w:sz w:val="24"/>
                <w:lang w:eastAsia="zh-CN"/>
              </w:rPr>
            </w:pPr>
            <w:r>
              <w:rPr>
                <w:rFonts w:hint="eastAsia" w:ascii="宋体" w:hAnsi="宋体" w:cs="宋体"/>
                <w:color w:val="000000"/>
                <w:sz w:val="24"/>
                <w:lang w:val="en-US" w:eastAsia="zh-CN"/>
              </w:rPr>
              <w:t>8</w:t>
            </w:r>
            <w:bookmarkStart w:id="285" w:name="_GoBack"/>
            <w:bookmarkEnd w:id="285"/>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2</w:t>
            </w:r>
          </w:p>
        </w:tc>
        <w:tc>
          <w:tcPr>
            <w:tcW w:w="1303" w:type="dxa"/>
            <w:vAlign w:val="center"/>
          </w:tcPr>
          <w:p>
            <w:pPr>
              <w:jc w:val="center"/>
              <w:rPr>
                <w:rFonts w:ascii="宋体" w:hAnsi="宋体"/>
                <w:color w:val="000000"/>
                <w:sz w:val="24"/>
              </w:rPr>
            </w:pPr>
            <w:r>
              <w:rPr>
                <w:rFonts w:hint="eastAsia" w:ascii="宋体" w:hAnsi="宋体"/>
                <w:color w:val="000000"/>
                <w:sz w:val="24"/>
              </w:rPr>
              <w:t>人脸识别算法模块</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rPr>
              <w:t>设备应支持接入16路1080P视频流解析，支持人脸识别，视频结构化算法。</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rPr>
              <w:t>.设备应支持人脸比对功能：支持1：1及1：N人脸比对功能。1：N人脸比对可展示比分前五位人脸图像。</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.设备应能对瞳间距为20像素至380像素的人脸图像和水平转动角不超过±60°、俯仰角不超过±60°、倾斜角不超过±60°的人脸图像进行抓拍。</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3</w:t>
            </w:r>
            <w:r>
              <w:rPr>
                <w:rFonts w:ascii="宋体" w:hAnsi="宋体" w:cs="宋体"/>
                <w:color w:val="000000"/>
                <w:sz w:val="21"/>
                <w:szCs w:val="21"/>
              </w:rPr>
              <w:t>.</w:t>
            </w:r>
            <w:r>
              <w:rPr>
                <w:rFonts w:hint="eastAsia" w:ascii="宋体" w:hAnsi="宋体" w:cs="宋体"/>
                <w:color w:val="000000"/>
                <w:sz w:val="21"/>
                <w:szCs w:val="21"/>
              </w:rPr>
              <w:t>设备应支持对人脸遮挡不大于1/3的人脸图像进行抓拍。</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rPr>
              <w:t>.设备应支持</w:t>
            </w:r>
            <w:r>
              <w:rPr>
                <w:rFonts w:hint="eastAsia" w:ascii="宋体" w:hAnsi="宋体" w:cs="宋体"/>
                <w:color w:val="000000"/>
                <w:sz w:val="21"/>
                <w:szCs w:val="21"/>
                <w:lang w:val="en-US" w:eastAsia="zh-CN"/>
              </w:rPr>
              <w:t>本地存储</w:t>
            </w:r>
            <w:r>
              <w:rPr>
                <w:rFonts w:hint="eastAsia" w:ascii="宋体" w:hAnsi="宋体" w:cs="宋体"/>
                <w:color w:val="000000"/>
                <w:sz w:val="21"/>
                <w:szCs w:val="21"/>
              </w:rPr>
              <w:t>容量≥</w:t>
            </w:r>
            <w:r>
              <w:rPr>
                <w:rFonts w:hint="eastAsia" w:ascii="宋体" w:hAnsi="宋体" w:cs="宋体"/>
                <w:color w:val="000000"/>
                <w:sz w:val="21"/>
                <w:szCs w:val="21"/>
                <w:lang w:val="en-US" w:eastAsia="zh-CN"/>
              </w:rPr>
              <w:t>10</w:t>
            </w:r>
            <w:r>
              <w:rPr>
                <w:rFonts w:hint="eastAsia" w:ascii="宋体" w:hAnsi="宋体" w:cs="宋体"/>
                <w:color w:val="000000"/>
                <w:sz w:val="21"/>
                <w:szCs w:val="21"/>
              </w:rPr>
              <w:t>万。</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eastAsia"/>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.设备应具备1个RJ45接口、1个USB接口、1个电源接口、1个复位按键。</w:t>
            </w:r>
          </w:p>
        </w:tc>
        <w:tc>
          <w:tcPr>
            <w:tcW w:w="709" w:type="dxa"/>
            <w:vAlign w:val="center"/>
          </w:tcPr>
          <w:p>
            <w:pPr>
              <w:jc w:val="center"/>
              <w:rPr>
                <w:rFonts w:hint="default" w:ascii="新宋体" w:hAnsi="新宋体" w:eastAsia="新宋体" w:cs="宋体"/>
                <w:b w:val="0"/>
                <w:bCs w:val="0"/>
                <w:color w:val="000000"/>
                <w:sz w:val="20"/>
                <w:szCs w:val="20"/>
                <w:lang w:val="en-US" w:eastAsia="zh-CN"/>
              </w:rPr>
            </w:pPr>
            <w:r>
              <w:rPr>
                <w:rFonts w:hint="eastAsia" w:ascii="新宋体" w:hAnsi="新宋体" w:eastAsia="新宋体" w:cs="宋体"/>
                <w:b w:val="0"/>
                <w:bCs w:val="0"/>
                <w:color w:val="000000"/>
                <w:sz w:val="20"/>
                <w:szCs w:val="20"/>
                <w:lang w:val="en-US" w:eastAsia="zh-CN"/>
              </w:rPr>
              <w:t>个</w:t>
            </w:r>
          </w:p>
        </w:tc>
        <w:tc>
          <w:tcPr>
            <w:tcW w:w="750" w:type="dxa"/>
            <w:vAlign w:val="center"/>
          </w:tcPr>
          <w:p>
            <w:pPr>
              <w:jc w:val="center"/>
              <w:rPr>
                <w:rFonts w:ascii="宋体" w:hAnsi="宋体" w:cs="宋体"/>
                <w:color w:val="000000"/>
                <w:sz w:val="24"/>
              </w:rPr>
            </w:pPr>
            <w:r>
              <w:rPr>
                <w:rFonts w:hint="eastAsia" w:ascii="宋体" w:hAnsi="宋体" w:cs="宋体"/>
                <w:color w:val="000000"/>
                <w:sz w:val="24"/>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3</w:t>
            </w:r>
          </w:p>
        </w:tc>
        <w:tc>
          <w:tcPr>
            <w:tcW w:w="1303" w:type="dxa"/>
            <w:vAlign w:val="center"/>
          </w:tcPr>
          <w:p>
            <w:pPr>
              <w:jc w:val="center"/>
              <w:rPr>
                <w:rFonts w:ascii="宋体" w:hAnsi="宋体"/>
                <w:color w:val="000000"/>
                <w:sz w:val="24"/>
              </w:rPr>
            </w:pPr>
            <w:r>
              <w:rPr>
                <w:rFonts w:hint="eastAsia" w:ascii="宋体" w:hAnsi="宋体"/>
                <w:color w:val="000000"/>
                <w:sz w:val="24"/>
              </w:rPr>
              <w:t>身份证阅读器</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rPr>
              <w:t>1.CPU：72MHz 32bit高性能处理器以上。</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rPr>
              <w:t>2.存储器：64KB Flash，20KB RAM以上。</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eastAsia" w:ascii="宋体" w:hAnsi="宋体" w:cs="宋体"/>
                <w:sz w:val="21"/>
                <w:szCs w:val="21"/>
              </w:rPr>
            </w:pPr>
            <w:r>
              <w:rPr>
                <w:rFonts w:hint="eastAsia" w:ascii="宋体" w:hAnsi="宋体" w:cs="宋体"/>
                <w:color w:val="000000"/>
                <w:sz w:val="21"/>
                <w:szCs w:val="21"/>
              </w:rPr>
              <w:t>3.</w:t>
            </w:r>
            <w:r>
              <w:rPr>
                <w:rFonts w:hint="eastAsia" w:ascii="宋体" w:hAnsi="宋体" w:cs="宋体"/>
                <w:sz w:val="21"/>
                <w:szCs w:val="21"/>
              </w:rPr>
              <w:t>数据安全符合国密算法和公安部授权要求</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ascii="宋体" w:hAnsi="宋体" w:cs="宋体"/>
                <w:sz w:val="21"/>
                <w:szCs w:val="21"/>
              </w:rPr>
              <w:t>4</w:t>
            </w:r>
            <w:r>
              <w:rPr>
                <w:rFonts w:hint="eastAsia" w:ascii="宋体" w:hAnsi="宋体" w:cs="宋体"/>
                <w:sz w:val="21"/>
                <w:szCs w:val="21"/>
              </w:rPr>
              <w:t xml:space="preserve">.读卡距离：0-5cm ；阅读时间 ≤1秒 </w:t>
            </w:r>
            <w:r>
              <w:rPr>
                <w:rFonts w:hint="eastAsia" w:ascii="宋体" w:hAnsi="宋体" w:cs="宋体"/>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.蜂鸣器：300-2300Hz 。</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eastAsia" w:ascii="宋体" w:hAnsi="宋体" w:cs="宋体"/>
                <w:color w:val="000000"/>
                <w:sz w:val="21"/>
                <w:szCs w:val="21"/>
              </w:rPr>
            </w:pPr>
            <w:r>
              <w:rPr>
                <w:rFonts w:hint="eastAsia" w:ascii="宋体" w:hAnsi="宋体" w:cs="宋体"/>
                <w:color w:val="000000"/>
                <w:sz w:val="21"/>
                <w:szCs w:val="21"/>
                <w:lang w:val="en-US" w:eastAsia="zh-CN"/>
              </w:rPr>
              <w:t>6</w:t>
            </w:r>
            <w:r>
              <w:rPr>
                <w:rFonts w:hint="eastAsia" w:ascii="宋体" w:hAnsi="宋体" w:cs="宋体"/>
                <w:color w:val="000000"/>
                <w:sz w:val="21"/>
                <w:szCs w:val="21"/>
              </w:rPr>
              <w:t>.电源：DC 5V ，USB接口供电，或外置电源适配器供电 。</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7</w:t>
            </w:r>
            <w:r>
              <w:rPr>
                <w:rFonts w:hint="eastAsia" w:ascii="宋体" w:hAnsi="宋体" w:cs="宋体"/>
                <w:color w:val="000000"/>
                <w:sz w:val="21"/>
                <w:szCs w:val="21"/>
              </w:rPr>
              <w:t>.无故障工作时间 ：≥</w:t>
            </w:r>
            <w:r>
              <w:rPr>
                <w:rFonts w:hint="eastAsia" w:ascii="宋体" w:hAnsi="宋体" w:cs="宋体"/>
                <w:sz w:val="21"/>
                <w:szCs w:val="21"/>
              </w:rPr>
              <w:t xml:space="preserve">10000小时 </w:t>
            </w:r>
            <w:r>
              <w:rPr>
                <w:rFonts w:hint="eastAsia" w:ascii="宋体" w:hAnsi="宋体" w:cs="宋体"/>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新宋体" w:hAnsi="新宋体" w:eastAsia="新宋体" w:cs="宋体"/>
                <w:b/>
                <w:bCs/>
                <w:color w:val="000000"/>
                <w:sz w:val="21"/>
                <w:szCs w:val="21"/>
              </w:rPr>
            </w:pPr>
            <w:r>
              <w:rPr>
                <w:rFonts w:hint="eastAsia" w:ascii="宋体" w:hAnsi="宋体" w:cs="宋体"/>
                <w:color w:val="000000"/>
                <w:sz w:val="21"/>
                <w:szCs w:val="21"/>
                <w:lang w:val="en-US" w:eastAsia="zh-CN"/>
              </w:rPr>
              <w:t>8</w:t>
            </w:r>
            <w:r>
              <w:rPr>
                <w:rFonts w:hint="eastAsia" w:ascii="宋体" w:hAnsi="宋体" w:cs="宋体"/>
                <w:color w:val="000000"/>
                <w:sz w:val="21"/>
                <w:szCs w:val="21"/>
              </w:rPr>
              <w:t>.技术标准：GA 450-2013台式居民身份证阅读器通用技术要求，GA467-2013居民身份证验证安全控制模块接口技术规范。</w:t>
            </w:r>
          </w:p>
        </w:tc>
        <w:tc>
          <w:tcPr>
            <w:tcW w:w="709"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二、</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Cs w:val="20"/>
              </w:rPr>
            </w:pPr>
            <w:r>
              <w:rPr>
                <w:rFonts w:hint="eastAsia" w:ascii="新宋体" w:hAnsi="新宋体" w:eastAsia="新宋体" w:cs="宋体"/>
                <w:b/>
                <w:bCs/>
                <w:color w:val="000000"/>
                <w:szCs w:val="20"/>
              </w:rPr>
              <w:t>软件平台</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center"/>
              <w:textAlignment w:val="auto"/>
              <w:rPr>
                <w:rFonts w:ascii="新宋体" w:hAnsi="新宋体" w:eastAsia="新宋体" w:cs="宋体"/>
                <w:b/>
                <w:bCs/>
                <w:color w:val="000000"/>
                <w:sz w:val="21"/>
                <w:szCs w:val="21"/>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s="宋体"/>
                <w:color w:val="000000"/>
                <w:sz w:val="24"/>
              </w:rPr>
            </w:pPr>
            <w:r>
              <w:rPr>
                <w:rFonts w:hint="eastAsia" w:ascii="宋体" w:hAnsi="宋体" w:cs="宋体"/>
                <w:color w:val="000000"/>
                <w:sz w:val="24"/>
              </w:rPr>
              <w:t>新生迎新</w:t>
            </w:r>
          </w:p>
          <w:p>
            <w:pPr>
              <w:jc w:val="center"/>
              <w:rPr>
                <w:rFonts w:ascii="宋体" w:hAnsi="宋体" w:cs="宋体"/>
                <w:color w:val="000000"/>
                <w:sz w:val="24"/>
              </w:rPr>
            </w:pPr>
            <w:r>
              <w:rPr>
                <w:rFonts w:hint="eastAsia" w:ascii="宋体" w:hAnsi="宋体" w:cs="宋体"/>
                <w:color w:val="000000"/>
                <w:sz w:val="24"/>
              </w:rPr>
              <w:t>核对系统</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ind w:firstLine="0" w:firstLineChars="0"/>
              <w:textAlignment w:val="auto"/>
              <w:rPr>
                <w:rFonts w:hint="eastAsia" w:ascii="宋体" w:hAnsi="宋体" w:cs="宋体"/>
                <w:color w:val="000000"/>
                <w:sz w:val="21"/>
                <w:szCs w:val="21"/>
              </w:rPr>
            </w:pPr>
            <w:r>
              <w:rPr>
                <w:rFonts w:hint="eastAsia" w:ascii="宋体" w:hAnsi="宋体" w:cs="宋体"/>
                <w:color w:val="000000"/>
                <w:sz w:val="21"/>
                <w:szCs w:val="21"/>
              </w:rPr>
              <w:t>系统具体功能应至少支持以下功能：</w:t>
            </w:r>
          </w:p>
          <w:p>
            <w:pPr>
              <w:keepNext w:val="0"/>
              <w:keepLines w:val="0"/>
              <w:pageBreakBefore w:val="0"/>
              <w:widowControl/>
              <w:kinsoku/>
              <w:wordWrap/>
              <w:overflowPunct/>
              <w:topLinePunct w:val="0"/>
              <w:autoSpaceDE/>
              <w:autoSpaceDN/>
              <w:bidi w:val="0"/>
              <w:adjustRightInd/>
              <w:snapToGrid/>
              <w:spacing w:after="0" w:line="280" w:lineRule="exact"/>
              <w:textAlignment w:val="auto"/>
              <w:rPr>
                <w:rFonts w:ascii="宋体" w:hAnsi="宋体" w:cs="宋体"/>
                <w:color w:val="000000"/>
                <w:sz w:val="21"/>
                <w:szCs w:val="21"/>
              </w:rPr>
            </w:pPr>
            <w:r>
              <w:rPr>
                <w:rFonts w:hint="eastAsia" w:ascii="宋体" w:hAnsi="宋体" w:cs="宋体"/>
                <w:color w:val="000000"/>
                <w:sz w:val="21"/>
                <w:szCs w:val="21"/>
              </w:rPr>
              <w:t>1.支持迎新管理：系统提供所有迎新记录的查询，每条记录支持查看签到记录，现场监控，数据统计。支持迎新时间、批次、院系、</w:t>
            </w:r>
            <w:r>
              <w:rPr>
                <w:rFonts w:hint="eastAsia" w:ascii="宋体" w:hAnsi="宋体" w:cs="宋体"/>
                <w:color w:val="000000"/>
                <w:sz w:val="21"/>
                <w:szCs w:val="21"/>
                <w:lang w:val="en-US" w:eastAsia="zh-CN"/>
              </w:rPr>
              <w:t>考生号</w:t>
            </w:r>
            <w:r>
              <w:rPr>
                <w:rFonts w:hint="eastAsia" w:ascii="宋体" w:hAnsi="宋体" w:cs="宋体"/>
                <w:color w:val="000000"/>
                <w:sz w:val="21"/>
                <w:szCs w:val="21"/>
              </w:rPr>
              <w:t>、专业等组合查询方式，</w:t>
            </w:r>
            <w:r>
              <w:rPr>
                <w:rFonts w:hint="eastAsia" w:ascii="宋体" w:hAnsi="宋体" w:cs="宋体"/>
                <w:sz w:val="21"/>
                <w:szCs w:val="21"/>
              </w:rPr>
              <w:t>以供学校领导和老师参考，提高所有新生管理情况。</w:t>
            </w:r>
          </w:p>
          <w:p>
            <w:pPr>
              <w:keepNext w:val="0"/>
              <w:keepLines w:val="0"/>
              <w:pageBreakBefore w:val="0"/>
              <w:widowControl/>
              <w:kinsoku/>
              <w:wordWrap/>
              <w:overflowPunct/>
              <w:topLinePunct w:val="0"/>
              <w:autoSpaceDE/>
              <w:autoSpaceDN/>
              <w:bidi w:val="0"/>
              <w:adjustRightInd/>
              <w:snapToGrid/>
              <w:spacing w:after="0" w:line="280" w:lineRule="exact"/>
              <w:textAlignment w:val="auto"/>
              <w:rPr>
                <w:rFonts w:ascii="宋体" w:hAnsi="宋体" w:cs="宋体"/>
                <w:color w:val="000000"/>
                <w:sz w:val="21"/>
                <w:szCs w:val="21"/>
              </w:rPr>
            </w:pPr>
            <w:r>
              <w:rPr>
                <w:rFonts w:hint="eastAsia" w:ascii="宋体" w:hAnsi="宋体" w:cs="宋体"/>
                <w:color w:val="000000"/>
                <w:sz w:val="21"/>
                <w:szCs w:val="21"/>
              </w:rPr>
              <w:t>2.支持发布迎新：系统发布迎新信息，</w:t>
            </w:r>
            <w:r>
              <w:rPr>
                <w:rFonts w:hint="eastAsia" w:ascii="宋体" w:hAnsi="宋体" w:cs="宋体"/>
                <w:sz w:val="21"/>
                <w:szCs w:val="21"/>
              </w:rPr>
              <w:t>确定迎新标题、时间、地点和新生信息，</w:t>
            </w:r>
            <w:r>
              <w:rPr>
                <w:rFonts w:hint="eastAsia" w:ascii="宋体" w:hAnsi="宋体" w:cs="宋体"/>
                <w:sz w:val="21"/>
                <w:szCs w:val="21"/>
                <w:lang w:val="en-US" w:eastAsia="zh-CN"/>
              </w:rPr>
              <w:t>支持</w:t>
            </w:r>
            <w:r>
              <w:rPr>
                <w:rFonts w:hint="eastAsia" w:ascii="宋体" w:hAnsi="宋体" w:cs="宋体"/>
                <w:color w:val="000000"/>
                <w:sz w:val="21"/>
                <w:szCs w:val="21"/>
              </w:rPr>
              <w:t>新生信息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含文本、照片等信息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批量</w:t>
            </w:r>
            <w:r>
              <w:rPr>
                <w:rFonts w:hint="eastAsia" w:ascii="宋体" w:hAnsi="宋体" w:cs="宋体"/>
                <w:color w:val="000000"/>
                <w:sz w:val="21"/>
                <w:szCs w:val="21"/>
              </w:rPr>
              <w:t>导入系统，生成迎新</w:t>
            </w:r>
            <w:r>
              <w:rPr>
                <w:rFonts w:hint="eastAsia" w:ascii="宋体" w:hAnsi="宋体" w:cs="宋体"/>
                <w:color w:val="000000"/>
                <w:sz w:val="21"/>
                <w:szCs w:val="21"/>
                <w:lang w:val="en-US" w:eastAsia="zh-CN"/>
              </w:rPr>
              <w:t>任务</w:t>
            </w:r>
            <w:r>
              <w:rPr>
                <w:rFonts w:hint="eastAsia" w:ascii="宋体" w:hAnsi="宋体" w:cs="宋体"/>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80" w:lineRule="exact"/>
              <w:textAlignment w:val="auto"/>
              <w:rPr>
                <w:rFonts w:ascii="宋体" w:hAnsi="宋体" w:cs="宋体"/>
                <w:sz w:val="21"/>
                <w:szCs w:val="21"/>
              </w:rPr>
            </w:pPr>
            <w:r>
              <w:rPr>
                <w:rFonts w:hint="eastAsia" w:ascii="宋体" w:hAnsi="宋体" w:cs="宋体"/>
                <w:sz w:val="21"/>
                <w:szCs w:val="21"/>
              </w:rPr>
              <w:t>3.支持签到记录：系统提供所有学生的签到记录，支持姓名、是否签到、批次、学院和校区的筛选方式，筛选签到信息，并支持导出以供学校领导和老师参考。</w:t>
            </w:r>
          </w:p>
          <w:p>
            <w:pPr>
              <w:keepNext w:val="0"/>
              <w:keepLines w:val="0"/>
              <w:pageBreakBefore w:val="0"/>
              <w:widowControl/>
              <w:kinsoku/>
              <w:wordWrap/>
              <w:overflowPunct/>
              <w:topLinePunct w:val="0"/>
              <w:autoSpaceDE/>
              <w:autoSpaceDN/>
              <w:bidi w:val="0"/>
              <w:adjustRightInd/>
              <w:snapToGrid/>
              <w:spacing w:after="0" w:line="280" w:lineRule="exact"/>
              <w:textAlignment w:val="auto"/>
              <w:rPr>
                <w:sz w:val="21"/>
                <w:szCs w:val="21"/>
              </w:rPr>
            </w:pPr>
            <w:r>
              <w:rPr>
                <w:rFonts w:hint="eastAsia" w:ascii="宋体" w:hAnsi="宋体" w:cs="宋体"/>
                <w:sz w:val="21"/>
                <w:szCs w:val="21"/>
              </w:rPr>
              <w:t>4.支持学生现场照采集：系统提供现场照抓拍保存功能，通过认证后，获取现场照保存到系统，支持按照学号或者身份证号查询，支持批量导出等。</w:t>
            </w:r>
          </w:p>
        </w:tc>
        <w:tc>
          <w:tcPr>
            <w:tcW w:w="709"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套</w:t>
            </w:r>
          </w:p>
        </w:tc>
        <w:tc>
          <w:tcPr>
            <w:tcW w:w="750" w:type="dxa"/>
            <w:vAlign w:val="center"/>
          </w:tcPr>
          <w:p>
            <w:pPr>
              <w:jc w:val="center"/>
              <w:rPr>
                <w:rFonts w:ascii="宋体" w:hAnsi="宋体" w:cs="宋体"/>
                <w:color w:val="000000"/>
                <w:sz w:val="24"/>
              </w:rPr>
            </w:pPr>
            <w:r>
              <w:rPr>
                <w:rFonts w:hint="eastAsia" w:ascii="宋体" w:hAnsi="宋体" w:cs="宋体"/>
                <w:color w:val="000000"/>
                <w:sz w:val="24"/>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31" w:type="dxa"/>
            <w:gridSpan w:val="2"/>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新宋体" w:hAnsi="新宋体" w:eastAsia="新宋体" w:cs="宋体"/>
                <w:b/>
                <w:bCs/>
                <w:color w:val="000000"/>
                <w:sz w:val="20"/>
                <w:szCs w:val="20"/>
                <w:lang w:eastAsia="zh-CN"/>
              </w:rPr>
            </w:pPr>
            <w:r>
              <w:rPr>
                <w:rFonts w:hint="eastAsia" w:ascii="新宋体" w:hAnsi="新宋体" w:eastAsia="新宋体" w:cs="宋体"/>
                <w:b/>
                <w:bCs/>
                <w:color w:val="000000"/>
                <w:sz w:val="20"/>
                <w:szCs w:val="20"/>
                <w:lang w:val="en-US" w:eastAsia="zh-CN"/>
              </w:rPr>
              <w:t>合计</w:t>
            </w:r>
          </w:p>
        </w:tc>
        <w:tc>
          <w:tcPr>
            <w:tcW w:w="12100" w:type="dxa"/>
            <w:gridSpan w:val="8"/>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新宋体" w:hAnsi="新宋体" w:eastAsia="新宋体" w:cs="宋体"/>
                <w:b/>
                <w:bCs/>
                <w:color w:val="000000"/>
                <w:sz w:val="20"/>
                <w:szCs w:val="20"/>
              </w:rPr>
            </w:pPr>
            <w:r>
              <w:rPr>
                <w:rFonts w:hint="eastAsia" w:cs="仿宋_GB2312" w:asciiTheme="minorEastAsia" w:hAnsiTheme="minorEastAsia"/>
                <w:sz w:val="24"/>
                <w:szCs w:val="24"/>
              </w:rPr>
              <w:t xml:space="preserve">合计（含税）：大写人民币 </w:t>
            </w:r>
            <w:r>
              <w:rPr>
                <w:rFonts w:cs="仿宋_GB2312" w:asciiTheme="minorEastAsia" w:hAnsiTheme="minorEastAsia"/>
                <w:sz w:val="24"/>
                <w:szCs w:val="24"/>
              </w:rPr>
              <w:t xml:space="preserve">             </w:t>
            </w:r>
            <w:r>
              <w:rPr>
                <w:rFonts w:hint="eastAsia" w:cs="仿宋_GB2312" w:asciiTheme="minorEastAsia" w:hAnsiTheme="minorEastAsia"/>
                <w:sz w:val="24"/>
                <w:szCs w:val="24"/>
              </w:rPr>
              <w:t>小写￥</w:t>
            </w:r>
          </w:p>
        </w:tc>
      </w:tr>
    </w:tbl>
    <w:p>
      <w:pPr>
        <w:spacing w:after="0" w:line="320" w:lineRule="exact"/>
        <w:rPr>
          <w:rFonts w:hint="eastAsia" w:ascii="仿宋" w:hAnsi="仿宋" w:eastAsia="仿宋" w:cs="宋体"/>
          <w:color w:val="000000"/>
          <w:sz w:val="24"/>
          <w:szCs w:val="24"/>
        </w:rPr>
      </w:pPr>
      <w:r>
        <w:rPr>
          <w:rFonts w:hint="eastAsia" w:ascii="仿宋" w:hAnsi="仿宋" w:eastAsia="仿宋" w:cs="宋体"/>
          <w:color w:val="000000"/>
          <w:sz w:val="24"/>
          <w:szCs w:val="24"/>
        </w:rPr>
        <w:t>说明：</w:t>
      </w:r>
    </w:p>
    <w:p>
      <w:pPr>
        <w:spacing w:after="0" w:line="320" w:lineRule="exact"/>
        <w:rPr>
          <w:rFonts w:ascii="仿宋" w:hAnsi="仿宋" w:eastAsia="仿宋" w:cs="宋体"/>
          <w:color w:val="000000"/>
          <w:sz w:val="24"/>
          <w:szCs w:val="24"/>
        </w:rPr>
      </w:pPr>
      <w:r>
        <w:rPr>
          <w:rFonts w:hint="eastAsia" w:ascii="仿宋" w:hAnsi="仿宋" w:eastAsia="仿宋" w:cs="宋体"/>
          <w:color w:val="000000"/>
          <w:sz w:val="24"/>
          <w:szCs w:val="24"/>
        </w:rPr>
        <w:t>1、此报价表采用全费用包干总价进行结算。</w:t>
      </w:r>
    </w:p>
    <w:p>
      <w:pPr>
        <w:spacing w:after="0" w:line="320" w:lineRule="exact"/>
        <w:rPr>
          <w:rFonts w:ascii="仿宋" w:hAnsi="仿宋" w:eastAsia="仿宋"/>
          <w:color w:val="000000" w:themeColor="text1"/>
          <w:sz w:val="28"/>
          <w:szCs w:val="28"/>
          <w:lang w:val="zh-CN"/>
          <w14:textFill>
            <w14:solidFill>
              <w14:schemeClr w14:val="tx1"/>
            </w14:solidFill>
          </w14:textFill>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after="0" w:line="380" w:lineRule="exact"/>
        <w:ind w:firstLine="9240" w:firstLineChars="33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firstLine="9240" w:firstLineChars="3300"/>
        <w:jc w:val="left"/>
        <w:rPr>
          <w:rFonts w:ascii="仿宋" w:hAnsi="仿宋" w:eastAsia="仿宋"/>
          <w:b/>
          <w:bCs/>
          <w:color w:val="000000" w:themeColor="text1"/>
          <w:sz w:val="28"/>
          <w:szCs w:val="28"/>
          <w14:textFill>
            <w14:solidFill>
              <w14:schemeClr w14:val="tx1"/>
            </w14:solidFill>
          </w14:textFill>
        </w:rPr>
      </w:pPr>
      <w:r>
        <w:rPr>
          <w:rFonts w:hint="eastAsia" w:ascii="仿宋" w:hAnsi="仿宋" w:eastAsia="仿宋"/>
          <w:sz w:val="28"/>
          <w:szCs w:val="28"/>
          <w:lang w:val="en-US" w:eastAsia="zh-CN"/>
        </w:rPr>
        <w:t>报价时间：      年     月    日</w:t>
      </w:r>
    </w:p>
    <w:p>
      <w:pPr>
        <w:spacing w:after="0" w:line="240" w:lineRule="auto"/>
        <w:jc w:val="left"/>
        <w:rPr>
          <w:rFonts w:ascii="仿宋" w:hAnsi="仿宋" w:eastAsia="仿宋"/>
          <w:b/>
          <w:bCs/>
          <w:color w:val="000000" w:themeColor="text1"/>
          <w:sz w:val="28"/>
          <w:szCs w:val="28"/>
          <w14:textFill>
            <w14:solidFill>
              <w14:schemeClr w14:val="tx1"/>
            </w14:solidFill>
          </w14:textFill>
        </w:rPr>
        <w:sectPr>
          <w:pgSz w:w="16838" w:h="11906" w:orient="landscape"/>
          <w:pgMar w:top="1134" w:right="1440" w:bottom="1417" w:left="1440" w:header="851" w:footer="992" w:gutter="0"/>
          <w:cols w:space="0" w:num="1"/>
          <w:titlePg/>
          <w:docGrid w:type="lines" w:linePitch="322" w:charSpace="0"/>
        </w:sectPr>
      </w:pPr>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、参与人的资格证明文件</w:t>
      </w:r>
    </w:p>
    <w:p>
      <w:pPr>
        <w:pStyle w:val="63"/>
        <w:rPr>
          <w:rFonts w:ascii="仿宋" w:hAnsi="仿宋" w:eastAsia="仿宋"/>
          <w:color w:val="000000" w:themeColor="text1"/>
          <w:szCs w:val="28"/>
          <w14:textFill>
            <w14:solidFill>
              <w14:schemeClr w14:val="tx1"/>
            </w14:solidFill>
          </w14:textFill>
        </w:rPr>
      </w:pP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bookmarkStart w:id="143" w:name="_Toc266870442"/>
      <w:bookmarkStart w:id="144" w:name="_Toc230071154"/>
      <w:bookmarkStart w:id="145" w:name="_Toc254790910"/>
      <w:bookmarkStart w:id="146" w:name="_Toc223146615"/>
      <w:bookmarkStart w:id="147" w:name="_Toc232302123"/>
      <w:bookmarkStart w:id="148" w:name="_Toc267060077"/>
      <w:bookmarkStart w:id="149" w:name="_Toc259520875"/>
      <w:bookmarkStart w:id="150" w:name="_Toc236021458"/>
      <w:bookmarkStart w:id="151" w:name="_Toc258401266"/>
      <w:bookmarkStart w:id="152" w:name="_Toc217891409"/>
      <w:bookmarkStart w:id="153" w:name="_Toc253066625"/>
      <w:bookmarkStart w:id="154" w:name="_Toc235437999"/>
      <w:bookmarkStart w:id="155" w:name="_Toc267060462"/>
      <w:bookmarkStart w:id="156" w:name="_Toc251613840"/>
      <w:bookmarkStart w:id="157" w:name="_Toc235438353"/>
      <w:bookmarkStart w:id="158" w:name="_Toc259692657"/>
      <w:bookmarkStart w:id="159" w:name="_Toc227058537"/>
      <w:bookmarkStart w:id="160" w:name="_Toc219800250"/>
      <w:bookmarkStart w:id="161" w:name="_Toc213756058"/>
      <w:bookmarkStart w:id="162" w:name="_Toc266870917"/>
      <w:bookmarkStart w:id="163" w:name="_Toc267060217"/>
      <w:bookmarkStart w:id="164" w:name="_Toc225669329"/>
      <w:bookmarkStart w:id="165" w:name="_Toc259692750"/>
      <w:bookmarkStart w:id="166" w:name="_Toc235438282"/>
      <w:bookmarkStart w:id="167" w:name="_Toc249325721"/>
      <w:bookmarkStart w:id="168" w:name="_Toc251586242"/>
      <w:bookmarkStart w:id="169" w:name="_Toc255975017"/>
      <w:bookmarkStart w:id="170" w:name="_Toc266868680"/>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-1关于资格的声明函</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Fonts w:hint="eastAsia" w:ascii="仿宋" w:hAnsi="仿宋" w:eastAsia="仿宋"/>
          <w:b/>
          <w:color w:val="000000" w:themeColor="text1"/>
          <w:sz w:val="28"/>
          <w:szCs w:val="28"/>
          <w14:textFill>
            <w14:solidFill>
              <w14:schemeClr w14:val="tx1"/>
            </w14:solidFill>
          </w14:textFill>
        </w:rPr>
        <w:cr/>
      </w:r>
    </w:p>
    <w:p>
      <w:pPr>
        <w:spacing w:after="0" w:line="500" w:lineRule="exact"/>
        <w:rPr>
          <w:rFonts w:ascii="仿宋" w:hAnsi="仿宋" w:eastAsia="仿宋"/>
          <w:color w:val="000000" w:themeColor="text1"/>
          <w:sz w:val="28"/>
          <w:szCs w:val="28"/>
          <w14:textFill>
            <w14:solidFill>
              <w14:schemeClr w14:val="tx1"/>
            </w14:solidFill>
          </w14:textFill>
        </w:rPr>
      </w:pPr>
      <w:bookmarkStart w:id="171" w:name="_Hlk511663739"/>
      <w:r>
        <w:rPr>
          <w:rFonts w:hint="eastAsia" w:ascii="仿宋" w:hAnsi="仿宋" w:eastAsia="仿宋"/>
          <w:color w:val="000000" w:themeColor="text1"/>
          <w:sz w:val="28"/>
          <w:szCs w:val="28"/>
          <w14:textFill>
            <w14:solidFill>
              <w14:schemeClr w14:val="tx1"/>
            </w14:solidFill>
          </w14:textFill>
        </w:rPr>
        <w:t>重庆外语外事学院：</w:t>
      </w:r>
      <w:bookmarkEnd w:id="171"/>
    </w:p>
    <w:p>
      <w:pPr>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关于贵方xxxx年xx月xx日 （）公开询价邀请，本签字人愿意参加本次报价，提供公开询价文件中规定的货物，并证明提交的下列文件和说明是准确的和真实的。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2．我方的资格声明正本1份，副本1份，随报价响应文件一同递交。</w:t>
      </w: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     址：</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邮     编：</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电话或传真：</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bookmarkStart w:id="172" w:name="_Toc266870918"/>
      <w:bookmarkStart w:id="173" w:name="_Toc213756059"/>
      <w:bookmarkStart w:id="174" w:name="_Toc251586243"/>
      <w:bookmarkStart w:id="175" w:name="_Toc227058538"/>
      <w:bookmarkStart w:id="176" w:name="_Toc230071155"/>
      <w:bookmarkStart w:id="177" w:name="_Toc235438283"/>
      <w:bookmarkStart w:id="178" w:name="_Toc223146616"/>
      <w:bookmarkStart w:id="179" w:name="_Toc249325722"/>
      <w:bookmarkStart w:id="180" w:name="_Toc259692751"/>
      <w:bookmarkStart w:id="181" w:name="_Toc258401267"/>
      <w:bookmarkStart w:id="182" w:name="_Toc266868681"/>
      <w:bookmarkStart w:id="183" w:name="_Toc232302124"/>
      <w:bookmarkStart w:id="184" w:name="_Toc259692658"/>
      <w:bookmarkStart w:id="185" w:name="_Toc235438354"/>
      <w:bookmarkStart w:id="186" w:name="_Toc266870443"/>
      <w:bookmarkStart w:id="187" w:name="_Toc259520876"/>
      <w:bookmarkStart w:id="188" w:name="_Toc235438000"/>
      <w:bookmarkStart w:id="189" w:name="_Toc236021459"/>
      <w:bookmarkStart w:id="190" w:name="_Toc254790911"/>
      <w:bookmarkStart w:id="191" w:name="_Toc225669330"/>
      <w:bookmarkStart w:id="192" w:name="_Toc219800251"/>
      <w:bookmarkStart w:id="193" w:name="_Toc217891410"/>
      <w:bookmarkStart w:id="194" w:name="_Toc255975018"/>
      <w:bookmarkStart w:id="195" w:name="_Toc253066626"/>
      <w:bookmarkStart w:id="196" w:name="_Toc251613841"/>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企业</w:t>
      </w:r>
      <w:r>
        <w:rPr>
          <w:rFonts w:hint="eastAsia" w:ascii="仿宋" w:hAnsi="仿宋" w:eastAsia="仿宋"/>
          <w:b/>
          <w:color w:val="000000" w:themeColor="text1"/>
          <w:sz w:val="28"/>
          <w:szCs w:val="28"/>
          <w14:textFill>
            <w14:solidFill>
              <w14:schemeClr w14:val="tx1"/>
            </w14:solidFill>
          </w14:textFill>
        </w:rPr>
        <w:t>法人营业执照（复印件并加盖公章）</w:t>
      </w:r>
    </w:p>
    <w:p>
      <w:pPr>
        <w:jc w:val="center"/>
        <w:outlineLvl w:val="1"/>
        <w:rPr>
          <w:rFonts w:ascii="仿宋" w:hAnsi="仿宋" w:eastAsia="仿宋"/>
          <w:b/>
          <w:color w:val="000000" w:themeColor="text1"/>
          <w:sz w:val="28"/>
          <w:szCs w:val="28"/>
          <w14:textFill>
            <w14:solidFill>
              <w14:schemeClr w14:val="tx1"/>
            </w14:solidFill>
          </w14:textFill>
        </w:rPr>
      </w:pPr>
    </w:p>
    <w:p>
      <w:pPr>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重庆外语外事学院：</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现附上由（签发机关名称）签发的我方法人营业执照复印件，该执照业经年检，真实有效。</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 与 人（全称并加盖公章）：</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zh-CN"/>
          <w14:textFill>
            <w14:solidFill>
              <w14:schemeClr w14:val="tx1"/>
            </w14:solidFill>
          </w14:textFill>
        </w:rPr>
        <w:t>参与人授权代表</w:t>
      </w:r>
      <w:r>
        <w:rPr>
          <w:rFonts w:hint="eastAsia" w:ascii="仿宋" w:hAnsi="仿宋" w:eastAsia="仿宋"/>
          <w:color w:val="000000" w:themeColor="text1"/>
          <w:sz w:val="28"/>
          <w:szCs w:val="28"/>
          <w14:textFill>
            <w14:solidFill>
              <w14:schemeClr w14:val="tx1"/>
            </w14:solidFill>
          </w14:textFill>
        </w:rPr>
        <w:t>：</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日      期：</w:t>
      </w: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br w:type="page"/>
      </w:r>
      <w:bookmarkStart w:id="197" w:name="_Toc266868684"/>
      <w:bookmarkStart w:id="198" w:name="_Toc235438286"/>
      <w:bookmarkStart w:id="199" w:name="_Toc180302921"/>
      <w:bookmarkStart w:id="200" w:name="_Toc254790914"/>
      <w:bookmarkStart w:id="201" w:name="_Toc251613844"/>
      <w:bookmarkStart w:id="202" w:name="_Toc267060466"/>
      <w:bookmarkStart w:id="203" w:name="_Toc267060081"/>
      <w:bookmarkStart w:id="204" w:name="_Toc182805225"/>
      <w:bookmarkStart w:id="205" w:name="_Toc266870921"/>
      <w:bookmarkStart w:id="206" w:name="_Toc259520879"/>
      <w:bookmarkStart w:id="207" w:name="_Toc211917124"/>
      <w:bookmarkStart w:id="208" w:name="_Toc251586246"/>
      <w:bookmarkStart w:id="209" w:name="_Toc259692754"/>
      <w:bookmarkStart w:id="210" w:name="_Toc259520881"/>
      <w:bookmarkStart w:id="211" w:name="_Toc255975023"/>
      <w:bookmarkStart w:id="212" w:name="_Toc267060220"/>
      <w:bookmarkStart w:id="213" w:name="_Toc192996346"/>
      <w:bookmarkStart w:id="214" w:name="_Toc266870446"/>
      <w:bookmarkStart w:id="215" w:name="_Toc203355741"/>
      <w:bookmarkStart w:id="216" w:name="_Toc177985477"/>
      <w:bookmarkStart w:id="217" w:name="_Toc160880168"/>
      <w:bookmarkStart w:id="218" w:name="_Toc192664161"/>
      <w:bookmarkStart w:id="219" w:name="_Toc266870922"/>
      <w:bookmarkStart w:id="220" w:name="_Toc191803634"/>
      <w:bookmarkStart w:id="221" w:name="_Toc266870447"/>
      <w:bookmarkStart w:id="222" w:name="_Toc160880537"/>
      <w:bookmarkStart w:id="223" w:name="_Toc249325725"/>
      <w:bookmarkStart w:id="224" w:name="_Toc181436573"/>
      <w:bookmarkStart w:id="225" w:name="_Toc235438003"/>
      <w:bookmarkStart w:id="226" w:name="_Toc259692756"/>
      <w:bookmarkStart w:id="227" w:name="_Toc181436469"/>
      <w:bookmarkStart w:id="228" w:name="_Toc182372790"/>
      <w:bookmarkStart w:id="229" w:name="_Toc259692663"/>
      <w:bookmarkStart w:id="230" w:name="_Toc232302127"/>
      <w:bookmarkStart w:id="231" w:name="_Toc236021462"/>
      <w:bookmarkStart w:id="232" w:name="_Toc192996454"/>
      <w:bookmarkStart w:id="233" w:name="_Toc267060080"/>
      <w:bookmarkStart w:id="234" w:name="_Toc235438357"/>
      <w:bookmarkStart w:id="235" w:name="_Toc266868686"/>
      <w:bookmarkStart w:id="236" w:name="_Toc253066629"/>
      <w:bookmarkStart w:id="237" w:name="_Toc191802698"/>
      <w:bookmarkStart w:id="238" w:name="_Toc267060221"/>
      <w:bookmarkStart w:id="239" w:name="_Toc191783230"/>
      <w:bookmarkStart w:id="240" w:name="_Toc192663694"/>
      <w:bookmarkStart w:id="241" w:name="_Toc193160456"/>
      <w:bookmarkStart w:id="242" w:name="_Toc259692661"/>
      <w:bookmarkStart w:id="243" w:name="_Toc258401272"/>
      <w:bookmarkStart w:id="244" w:name="_Toc193165742"/>
      <w:bookmarkStart w:id="245" w:name="_Toc191789337"/>
      <w:bookmarkStart w:id="246" w:name="_Toc254790916"/>
      <w:bookmarkStart w:id="247" w:name="_Toc170798801"/>
      <w:bookmarkStart w:id="248" w:name="_Toc255975021"/>
      <w:bookmarkStart w:id="249" w:name="_Toc192663843"/>
      <w:bookmarkStart w:id="250" w:name="_Toc267060465"/>
      <w:bookmarkStart w:id="251" w:name="_Toc258401270"/>
      <w:bookmarkStart w:id="252" w:name="_Toc169332957"/>
      <w:bookmarkStart w:id="253" w:name="_Toc169332846"/>
    </w:p>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Pr>
        <w:spacing w:after="0" w:line="480" w:lineRule="exact"/>
        <w:ind w:firstLine="570"/>
        <w:jc w:val="center"/>
        <w:rPr>
          <w:rFonts w:ascii="仿宋" w:hAnsi="仿宋" w:eastAsia="仿宋"/>
          <w:b/>
          <w:bCs/>
          <w:color w:val="000000" w:themeColor="text1"/>
          <w:sz w:val="28"/>
          <w:szCs w:val="28"/>
          <w14:textFill>
            <w14:solidFill>
              <w14:schemeClr w14:val="tx1"/>
            </w14:solidFill>
          </w14:textFill>
        </w:rPr>
      </w:pPr>
      <w:bookmarkStart w:id="254" w:name="_Toc258401273"/>
      <w:bookmarkStart w:id="255" w:name="_Toc266870923"/>
      <w:bookmarkStart w:id="256" w:name="_Toc249325726"/>
      <w:bookmarkStart w:id="257" w:name="_Toc267059545"/>
      <w:bookmarkStart w:id="258" w:name="_Toc235438004"/>
      <w:bookmarkStart w:id="259" w:name="_Toc267059925"/>
      <w:bookmarkStart w:id="260" w:name="_Toc267059036"/>
      <w:bookmarkStart w:id="261" w:name="_Toc254790917"/>
      <w:bookmarkStart w:id="262" w:name="_Toc251613845"/>
      <w:bookmarkStart w:id="263" w:name="_Toc235438358"/>
      <w:bookmarkStart w:id="264" w:name="_Toc253066630"/>
      <w:bookmarkStart w:id="265" w:name="_Toc266868687"/>
      <w:bookmarkStart w:id="266" w:name="_Toc255975024"/>
      <w:bookmarkStart w:id="267" w:name="_Toc267060222"/>
      <w:bookmarkStart w:id="268" w:name="_Toc267060327"/>
      <w:bookmarkStart w:id="269" w:name="_Toc236021463"/>
      <w:bookmarkStart w:id="270" w:name="_Toc267060467"/>
      <w:bookmarkStart w:id="271" w:name="_Toc251586247"/>
      <w:bookmarkStart w:id="272" w:name="_Toc266868944"/>
      <w:bookmarkStart w:id="273" w:name="_Toc273178704"/>
      <w:bookmarkStart w:id="274" w:name="_Toc267060082"/>
      <w:bookmarkStart w:id="275" w:name="_Toc259692664"/>
      <w:bookmarkStart w:id="276" w:name="_Toc267059187"/>
      <w:bookmarkStart w:id="277" w:name="_Toc267059812"/>
      <w:bookmarkStart w:id="278" w:name="_Toc259520882"/>
      <w:bookmarkStart w:id="279" w:name="_Toc235438287"/>
      <w:bookmarkStart w:id="280" w:name="_Toc266870840"/>
      <w:bookmarkStart w:id="281" w:name="_Toc267059659"/>
      <w:bookmarkStart w:id="282" w:name="_Toc259692757"/>
      <w:bookmarkStart w:id="283" w:name="_Toc232302128"/>
      <w:bookmarkStart w:id="284" w:name="_Toc266870448"/>
      <w:r>
        <w:rPr>
          <w:rFonts w:ascii="仿宋" w:hAnsi="仿宋" w:eastAsia="仿宋"/>
          <w:b/>
          <w:bCs/>
          <w:color w:val="000000" w:themeColor="text1"/>
          <w:sz w:val="28"/>
          <w:szCs w:val="28"/>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质保和后期服务承诺书</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rPr>
          <w:rFonts w:ascii="仿宋" w:hAnsi="仿宋" w:eastAsia="仿宋"/>
          <w:b/>
          <w:color w:val="000000" w:themeColor="text1"/>
          <w:sz w:val="28"/>
          <w:szCs w:val="28"/>
          <w14:textFill>
            <w14:solidFill>
              <w14:schemeClr w14:val="tx1"/>
            </w14:solidFill>
          </w14:textFill>
        </w:rPr>
      </w:pP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参与人根据公开询价文件中对售后服务的要求，结合自身实际情况进行承诺</w:t>
      </w:r>
      <w:r>
        <w:rPr>
          <w:rFonts w:ascii="仿宋" w:hAnsi="仿宋" w:eastAsia="仿宋"/>
          <w:color w:val="000000" w:themeColor="text1"/>
          <w:sz w:val="28"/>
          <w:szCs w:val="28"/>
          <w14:textFill>
            <w14:solidFill>
              <w14:schemeClr w14:val="tx1"/>
            </w14:solidFill>
          </w14:textFill>
        </w:rPr>
        <w:t>（含</w:t>
      </w:r>
      <w:r>
        <w:rPr>
          <w:rFonts w:hint="eastAsia" w:ascii="仿宋" w:hAnsi="仿宋" w:eastAsia="仿宋"/>
          <w:color w:val="000000" w:themeColor="text1"/>
          <w:sz w:val="28"/>
          <w:szCs w:val="28"/>
          <w14:textFill>
            <w14:solidFill>
              <w14:schemeClr w14:val="tx1"/>
            </w14:solidFill>
          </w14:textFill>
        </w:rPr>
        <w:t>产品质量</w:t>
      </w:r>
      <w:r>
        <w:rPr>
          <w:rFonts w:ascii="仿宋" w:hAnsi="仿宋" w:eastAsia="仿宋"/>
          <w:color w:val="000000" w:themeColor="text1"/>
          <w:sz w:val="28"/>
          <w:szCs w:val="28"/>
          <w14:textFill>
            <w14:solidFill>
              <w14:schemeClr w14:val="tx1"/>
            </w14:solidFill>
          </w14:textFill>
        </w:rPr>
        <w:t>保障体系等）、交货</w:t>
      </w:r>
      <w:r>
        <w:rPr>
          <w:rFonts w:hint="eastAsia" w:ascii="仿宋" w:hAnsi="仿宋" w:eastAsia="仿宋"/>
          <w:color w:val="000000" w:themeColor="text1"/>
          <w:sz w:val="28"/>
          <w:szCs w:val="28"/>
          <w14:textFill>
            <w14:solidFill>
              <w14:schemeClr w14:val="tx1"/>
            </w14:solidFill>
          </w14:textFill>
        </w:rPr>
        <w:t>周</w:t>
      </w:r>
      <w:r>
        <w:rPr>
          <w:rFonts w:ascii="仿宋" w:hAnsi="仿宋" w:eastAsia="仿宋"/>
          <w:color w:val="000000" w:themeColor="text1"/>
          <w:sz w:val="28"/>
          <w:szCs w:val="28"/>
          <w14:textFill>
            <w14:solidFill>
              <w14:schemeClr w14:val="tx1"/>
            </w14:solidFill>
          </w14:textFill>
        </w:rPr>
        <w:t>期承诺等</w:t>
      </w:r>
      <w:r>
        <w:rPr>
          <w:rFonts w:hint="eastAsia" w:ascii="仿宋" w:hAnsi="仿宋" w:eastAsia="仿宋"/>
          <w:color w:val="000000" w:themeColor="text1"/>
          <w:sz w:val="28"/>
          <w:szCs w:val="28"/>
          <w14:textFill>
            <w14:solidFill>
              <w14:schemeClr w14:val="tx1"/>
            </w14:solidFill>
          </w14:textFill>
        </w:rPr>
        <w:t>。</w:t>
      </w:r>
    </w:p>
    <w:p>
      <w:pPr>
        <w:spacing w:line="500" w:lineRule="exact"/>
        <w:ind w:firstLine="48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承诺如下：</w:t>
      </w:r>
    </w:p>
    <w:p>
      <w:pPr>
        <w:spacing w:line="420" w:lineRule="exact"/>
        <w:ind w:firstLine="480"/>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ind w:firstLine="3640" w:firstLineChars="1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 与 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380" w:lineRule="exact"/>
        <w:ind w:firstLine="5880" w:firstLineChars="21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p>
    <w:p>
      <w:pPr>
        <w:spacing w:line="420" w:lineRule="exact"/>
        <w:ind w:firstLine="6440" w:firstLineChars="2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日     期：</w:t>
      </w: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8953241"/>
    </w:sdtPr>
    <w:sdtContent>
      <w:sdt>
        <w:sdtPr>
          <w:id w:val="-436755361"/>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85908"/>
    <w:multiLevelType w:val="singleLevel"/>
    <w:tmpl w:val="4D28590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0"/>
  <w:drawingGridVerticalSpacing w:val="16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37E3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A1E60"/>
    <w:rsid w:val="000C0ADC"/>
    <w:rsid w:val="000E1DD1"/>
    <w:rsid w:val="000E7F0C"/>
    <w:rsid w:val="000F4F45"/>
    <w:rsid w:val="000F66B7"/>
    <w:rsid w:val="001030C6"/>
    <w:rsid w:val="00120CC1"/>
    <w:rsid w:val="00126009"/>
    <w:rsid w:val="0013118F"/>
    <w:rsid w:val="001561E9"/>
    <w:rsid w:val="001729A2"/>
    <w:rsid w:val="00176CD4"/>
    <w:rsid w:val="00181C04"/>
    <w:rsid w:val="00182C6E"/>
    <w:rsid w:val="001901ED"/>
    <w:rsid w:val="001A2C54"/>
    <w:rsid w:val="001A5B43"/>
    <w:rsid w:val="001B719E"/>
    <w:rsid w:val="001C6943"/>
    <w:rsid w:val="001D2BB3"/>
    <w:rsid w:val="001E75D3"/>
    <w:rsid w:val="001F2393"/>
    <w:rsid w:val="00226885"/>
    <w:rsid w:val="0023028B"/>
    <w:rsid w:val="00235C32"/>
    <w:rsid w:val="00244E90"/>
    <w:rsid w:val="00245806"/>
    <w:rsid w:val="00246D51"/>
    <w:rsid w:val="0025668E"/>
    <w:rsid w:val="00257789"/>
    <w:rsid w:val="002772BB"/>
    <w:rsid w:val="00290188"/>
    <w:rsid w:val="0029068A"/>
    <w:rsid w:val="00292468"/>
    <w:rsid w:val="002B2460"/>
    <w:rsid w:val="002C2C3D"/>
    <w:rsid w:val="002C3845"/>
    <w:rsid w:val="002C4297"/>
    <w:rsid w:val="002C55EF"/>
    <w:rsid w:val="002D1F84"/>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D2633"/>
    <w:rsid w:val="003E6439"/>
    <w:rsid w:val="003F20A6"/>
    <w:rsid w:val="00404FA2"/>
    <w:rsid w:val="004242F4"/>
    <w:rsid w:val="004262D6"/>
    <w:rsid w:val="0043243C"/>
    <w:rsid w:val="004341DA"/>
    <w:rsid w:val="00441955"/>
    <w:rsid w:val="004420EC"/>
    <w:rsid w:val="00463B84"/>
    <w:rsid w:val="00464A0D"/>
    <w:rsid w:val="00465E75"/>
    <w:rsid w:val="0047053F"/>
    <w:rsid w:val="004A199C"/>
    <w:rsid w:val="004B25FE"/>
    <w:rsid w:val="004B41BC"/>
    <w:rsid w:val="004B49C1"/>
    <w:rsid w:val="004B66B1"/>
    <w:rsid w:val="004C21AD"/>
    <w:rsid w:val="004C21F5"/>
    <w:rsid w:val="004C7174"/>
    <w:rsid w:val="004D05DB"/>
    <w:rsid w:val="004F7296"/>
    <w:rsid w:val="00502F52"/>
    <w:rsid w:val="0051328B"/>
    <w:rsid w:val="00513D0D"/>
    <w:rsid w:val="0052624B"/>
    <w:rsid w:val="005323AA"/>
    <w:rsid w:val="00541D19"/>
    <w:rsid w:val="0055400F"/>
    <w:rsid w:val="00565BDF"/>
    <w:rsid w:val="0056798C"/>
    <w:rsid w:val="0057673D"/>
    <w:rsid w:val="00582530"/>
    <w:rsid w:val="00590957"/>
    <w:rsid w:val="0059336F"/>
    <w:rsid w:val="00595285"/>
    <w:rsid w:val="005A2C54"/>
    <w:rsid w:val="005A5A4D"/>
    <w:rsid w:val="005B0077"/>
    <w:rsid w:val="005B4036"/>
    <w:rsid w:val="005E60C0"/>
    <w:rsid w:val="005F0F21"/>
    <w:rsid w:val="005F1735"/>
    <w:rsid w:val="005F1FC8"/>
    <w:rsid w:val="005F5BEC"/>
    <w:rsid w:val="005F6713"/>
    <w:rsid w:val="005F7141"/>
    <w:rsid w:val="00611911"/>
    <w:rsid w:val="0062018B"/>
    <w:rsid w:val="006271FC"/>
    <w:rsid w:val="00630374"/>
    <w:rsid w:val="00640ACE"/>
    <w:rsid w:val="00643097"/>
    <w:rsid w:val="00662D25"/>
    <w:rsid w:val="00671771"/>
    <w:rsid w:val="0069444F"/>
    <w:rsid w:val="006C7801"/>
    <w:rsid w:val="006E6F80"/>
    <w:rsid w:val="006F3C71"/>
    <w:rsid w:val="006F5FBA"/>
    <w:rsid w:val="00717DA1"/>
    <w:rsid w:val="00726570"/>
    <w:rsid w:val="00726F49"/>
    <w:rsid w:val="007325DE"/>
    <w:rsid w:val="0073285C"/>
    <w:rsid w:val="00733931"/>
    <w:rsid w:val="007607E7"/>
    <w:rsid w:val="00797354"/>
    <w:rsid w:val="007A062C"/>
    <w:rsid w:val="007A522E"/>
    <w:rsid w:val="007B0F09"/>
    <w:rsid w:val="007B2319"/>
    <w:rsid w:val="007D2621"/>
    <w:rsid w:val="007D5DC2"/>
    <w:rsid w:val="007D6C39"/>
    <w:rsid w:val="008111E1"/>
    <w:rsid w:val="00820F76"/>
    <w:rsid w:val="0084750C"/>
    <w:rsid w:val="00852113"/>
    <w:rsid w:val="0086321C"/>
    <w:rsid w:val="0086365D"/>
    <w:rsid w:val="00865B30"/>
    <w:rsid w:val="00866BD7"/>
    <w:rsid w:val="00874219"/>
    <w:rsid w:val="008902DC"/>
    <w:rsid w:val="00895339"/>
    <w:rsid w:val="00896621"/>
    <w:rsid w:val="00897C04"/>
    <w:rsid w:val="008C4323"/>
    <w:rsid w:val="008C6ED2"/>
    <w:rsid w:val="008D55E7"/>
    <w:rsid w:val="0090207A"/>
    <w:rsid w:val="00913FBF"/>
    <w:rsid w:val="00916532"/>
    <w:rsid w:val="00923C7E"/>
    <w:rsid w:val="00936704"/>
    <w:rsid w:val="009423C9"/>
    <w:rsid w:val="009606BC"/>
    <w:rsid w:val="00967E57"/>
    <w:rsid w:val="00994E59"/>
    <w:rsid w:val="009A6542"/>
    <w:rsid w:val="009D66D2"/>
    <w:rsid w:val="009E7645"/>
    <w:rsid w:val="00A10F7F"/>
    <w:rsid w:val="00A1234E"/>
    <w:rsid w:val="00A124F9"/>
    <w:rsid w:val="00A1433A"/>
    <w:rsid w:val="00A148CE"/>
    <w:rsid w:val="00A2373F"/>
    <w:rsid w:val="00A24465"/>
    <w:rsid w:val="00A24F96"/>
    <w:rsid w:val="00A25695"/>
    <w:rsid w:val="00A278BD"/>
    <w:rsid w:val="00A31E73"/>
    <w:rsid w:val="00A40610"/>
    <w:rsid w:val="00A4220E"/>
    <w:rsid w:val="00A44A63"/>
    <w:rsid w:val="00A60183"/>
    <w:rsid w:val="00A645CD"/>
    <w:rsid w:val="00A64A5B"/>
    <w:rsid w:val="00A72420"/>
    <w:rsid w:val="00A75297"/>
    <w:rsid w:val="00A81C33"/>
    <w:rsid w:val="00AA1C3E"/>
    <w:rsid w:val="00AA497E"/>
    <w:rsid w:val="00AA49A9"/>
    <w:rsid w:val="00AB73B6"/>
    <w:rsid w:val="00AC6A89"/>
    <w:rsid w:val="00AD29A3"/>
    <w:rsid w:val="00AF3C2A"/>
    <w:rsid w:val="00B067EB"/>
    <w:rsid w:val="00B14C37"/>
    <w:rsid w:val="00B361DF"/>
    <w:rsid w:val="00B47672"/>
    <w:rsid w:val="00B5261B"/>
    <w:rsid w:val="00B54440"/>
    <w:rsid w:val="00B554E7"/>
    <w:rsid w:val="00B71E24"/>
    <w:rsid w:val="00B73ABB"/>
    <w:rsid w:val="00B95D8A"/>
    <w:rsid w:val="00BA2BBD"/>
    <w:rsid w:val="00BB6506"/>
    <w:rsid w:val="00BB6643"/>
    <w:rsid w:val="00BC17FA"/>
    <w:rsid w:val="00BC36B2"/>
    <w:rsid w:val="00BD49FB"/>
    <w:rsid w:val="00BD4ED9"/>
    <w:rsid w:val="00BD7232"/>
    <w:rsid w:val="00BE1921"/>
    <w:rsid w:val="00BE4D9D"/>
    <w:rsid w:val="00BF24F5"/>
    <w:rsid w:val="00BF25F6"/>
    <w:rsid w:val="00BF35E8"/>
    <w:rsid w:val="00C035B5"/>
    <w:rsid w:val="00C04582"/>
    <w:rsid w:val="00C21AB6"/>
    <w:rsid w:val="00C3262F"/>
    <w:rsid w:val="00C3329D"/>
    <w:rsid w:val="00C343CC"/>
    <w:rsid w:val="00C37980"/>
    <w:rsid w:val="00C44EF4"/>
    <w:rsid w:val="00C53622"/>
    <w:rsid w:val="00C66E1E"/>
    <w:rsid w:val="00C676BA"/>
    <w:rsid w:val="00C77B67"/>
    <w:rsid w:val="00C81AB4"/>
    <w:rsid w:val="00C82CDF"/>
    <w:rsid w:val="00C84E5F"/>
    <w:rsid w:val="00C85795"/>
    <w:rsid w:val="00C857BF"/>
    <w:rsid w:val="00C86B2B"/>
    <w:rsid w:val="00C878DE"/>
    <w:rsid w:val="00CA2053"/>
    <w:rsid w:val="00CA60EC"/>
    <w:rsid w:val="00CC41DB"/>
    <w:rsid w:val="00CC59AE"/>
    <w:rsid w:val="00CC5E1C"/>
    <w:rsid w:val="00D2102C"/>
    <w:rsid w:val="00D25DBE"/>
    <w:rsid w:val="00D25ED4"/>
    <w:rsid w:val="00D300F1"/>
    <w:rsid w:val="00D36D52"/>
    <w:rsid w:val="00D56DEA"/>
    <w:rsid w:val="00D72DAC"/>
    <w:rsid w:val="00D74109"/>
    <w:rsid w:val="00D753F4"/>
    <w:rsid w:val="00D75ABD"/>
    <w:rsid w:val="00D9481E"/>
    <w:rsid w:val="00D955ED"/>
    <w:rsid w:val="00D97AD9"/>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3C8A"/>
    <w:rsid w:val="00EA5C79"/>
    <w:rsid w:val="00EB382A"/>
    <w:rsid w:val="00EB57F5"/>
    <w:rsid w:val="00EB5BFC"/>
    <w:rsid w:val="00EC01CF"/>
    <w:rsid w:val="00EC2F9D"/>
    <w:rsid w:val="00EC458F"/>
    <w:rsid w:val="00ED2437"/>
    <w:rsid w:val="00ED70B8"/>
    <w:rsid w:val="00EE3803"/>
    <w:rsid w:val="00EF53F1"/>
    <w:rsid w:val="00F01226"/>
    <w:rsid w:val="00F0149B"/>
    <w:rsid w:val="00F07840"/>
    <w:rsid w:val="00F33D8E"/>
    <w:rsid w:val="00F37846"/>
    <w:rsid w:val="00F412F9"/>
    <w:rsid w:val="00F4295D"/>
    <w:rsid w:val="00F80E38"/>
    <w:rsid w:val="00F8646A"/>
    <w:rsid w:val="00F876DE"/>
    <w:rsid w:val="00F95956"/>
    <w:rsid w:val="00F95A9E"/>
    <w:rsid w:val="00FC3A3C"/>
    <w:rsid w:val="00FF0CC9"/>
    <w:rsid w:val="00FF1750"/>
    <w:rsid w:val="00FF721E"/>
    <w:rsid w:val="0D73189B"/>
    <w:rsid w:val="174F5A48"/>
    <w:rsid w:val="17C01FB7"/>
    <w:rsid w:val="226024DF"/>
    <w:rsid w:val="2BA352F2"/>
    <w:rsid w:val="2C3E452C"/>
    <w:rsid w:val="3BC929E0"/>
    <w:rsid w:val="3E6C3925"/>
    <w:rsid w:val="3F107CA1"/>
    <w:rsid w:val="4367294C"/>
    <w:rsid w:val="45915743"/>
    <w:rsid w:val="491C6D9E"/>
    <w:rsid w:val="4D0C76E6"/>
    <w:rsid w:val="4DC707B1"/>
    <w:rsid w:val="57313955"/>
    <w:rsid w:val="5D5D3B0A"/>
    <w:rsid w:val="5DC06253"/>
    <w:rsid w:val="5F190458"/>
    <w:rsid w:val="614D49F5"/>
    <w:rsid w:val="615F14DA"/>
    <w:rsid w:val="63EE7680"/>
    <w:rsid w:val="64F5357A"/>
    <w:rsid w:val="67C664FE"/>
    <w:rsid w:val="6D3E02DA"/>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3">
    <w:name w:val="heading 1"/>
    <w:basedOn w:val="1"/>
    <w:next w:val="1"/>
    <w:link w:val="33"/>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4">
    <w:name w:val="heading 2"/>
    <w:basedOn w:val="1"/>
    <w:next w:val="1"/>
    <w:link w:val="34"/>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5">
    <w:name w:val="heading 3"/>
    <w:basedOn w:val="1"/>
    <w:next w:val="1"/>
    <w:link w:val="35"/>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6">
    <w:name w:val="heading 4"/>
    <w:basedOn w:val="1"/>
    <w:next w:val="1"/>
    <w:link w:val="36"/>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7">
    <w:name w:val="heading 5"/>
    <w:basedOn w:val="1"/>
    <w:next w:val="1"/>
    <w:link w:val="37"/>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8">
    <w:name w:val="heading 6"/>
    <w:basedOn w:val="1"/>
    <w:next w:val="1"/>
    <w:link w:val="38"/>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9">
    <w:name w:val="heading 7"/>
    <w:basedOn w:val="1"/>
    <w:next w:val="1"/>
    <w:link w:val="39"/>
    <w:semiHidden/>
    <w:unhideWhenUsed/>
    <w:qFormat/>
    <w:uiPriority w:val="9"/>
    <w:pPr>
      <w:keepNext/>
      <w:keepLines/>
      <w:spacing w:before="120" w:after="0"/>
      <w:outlineLvl w:val="6"/>
    </w:pPr>
    <w:rPr>
      <w:i/>
      <w:iCs/>
    </w:rPr>
  </w:style>
  <w:style w:type="paragraph" w:styleId="10">
    <w:name w:val="heading 8"/>
    <w:basedOn w:val="1"/>
    <w:next w:val="1"/>
    <w:link w:val="40"/>
    <w:semiHidden/>
    <w:unhideWhenUsed/>
    <w:qFormat/>
    <w:uiPriority w:val="9"/>
    <w:pPr>
      <w:keepNext/>
      <w:keepLines/>
      <w:spacing w:before="120" w:after="0"/>
      <w:outlineLvl w:val="7"/>
    </w:pPr>
    <w:rPr>
      <w:b/>
      <w:bCs/>
    </w:rPr>
  </w:style>
  <w:style w:type="paragraph" w:styleId="11">
    <w:name w:val="heading 9"/>
    <w:basedOn w:val="1"/>
    <w:next w:val="1"/>
    <w:link w:val="41"/>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2"/>
    <w:semiHidden/>
    <w:unhideWhenUsed/>
    <w:qFormat/>
    <w:uiPriority w:val="99"/>
    <w:pPr>
      <w:spacing w:after="120"/>
    </w:pPr>
  </w:style>
  <w:style w:type="paragraph" w:styleId="12">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3">
    <w:name w:val="caption"/>
    <w:basedOn w:val="1"/>
    <w:next w:val="1"/>
    <w:semiHidden/>
    <w:unhideWhenUsed/>
    <w:qFormat/>
    <w:uiPriority w:val="35"/>
    <w:rPr>
      <w:b/>
      <w:bCs/>
      <w:sz w:val="18"/>
      <w:szCs w:val="18"/>
    </w:rPr>
  </w:style>
  <w:style w:type="paragraph" w:styleId="14">
    <w:name w:val="annotation text"/>
    <w:basedOn w:val="1"/>
    <w:semiHidden/>
    <w:unhideWhenUsed/>
    <w:qFormat/>
    <w:uiPriority w:val="99"/>
    <w:pPr>
      <w:jc w:val="left"/>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3"/>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44"/>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6"/>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标题 1 Char"/>
    <w:basedOn w:val="28"/>
    <w:link w:val="3"/>
    <w:qFormat/>
    <w:uiPriority w:val="9"/>
    <w:rPr>
      <w:rFonts w:asciiTheme="majorHAnsi" w:hAnsiTheme="majorHAnsi" w:eastAsiaTheme="majorEastAsia" w:cstheme="majorBidi"/>
      <w:b/>
      <w:bCs/>
      <w:caps/>
      <w:spacing w:val="4"/>
      <w:sz w:val="28"/>
      <w:szCs w:val="28"/>
    </w:rPr>
  </w:style>
  <w:style w:type="character" w:customStyle="1" w:styleId="34">
    <w:name w:val="标题 2 Char"/>
    <w:basedOn w:val="28"/>
    <w:link w:val="4"/>
    <w:qFormat/>
    <w:uiPriority w:val="9"/>
    <w:rPr>
      <w:rFonts w:asciiTheme="majorHAnsi" w:hAnsiTheme="majorHAnsi" w:eastAsiaTheme="majorEastAsia" w:cstheme="majorBidi"/>
      <w:b/>
      <w:bCs/>
      <w:sz w:val="28"/>
      <w:szCs w:val="28"/>
    </w:rPr>
  </w:style>
  <w:style w:type="character" w:customStyle="1" w:styleId="35">
    <w:name w:val="标题 3 Char"/>
    <w:basedOn w:val="28"/>
    <w:link w:val="5"/>
    <w:qFormat/>
    <w:uiPriority w:val="9"/>
    <w:rPr>
      <w:rFonts w:asciiTheme="majorHAnsi" w:hAnsiTheme="majorHAnsi" w:eastAsiaTheme="majorEastAsia" w:cstheme="majorBidi"/>
      <w:spacing w:val="4"/>
      <w:sz w:val="24"/>
      <w:szCs w:val="24"/>
    </w:rPr>
  </w:style>
  <w:style w:type="character" w:customStyle="1" w:styleId="36">
    <w:name w:val="标题 4 Char"/>
    <w:basedOn w:val="28"/>
    <w:link w:val="6"/>
    <w:semiHidden/>
    <w:qFormat/>
    <w:uiPriority w:val="9"/>
    <w:rPr>
      <w:rFonts w:asciiTheme="majorHAnsi" w:hAnsiTheme="majorHAnsi" w:eastAsiaTheme="majorEastAsia" w:cstheme="majorBidi"/>
      <w:i/>
      <w:iCs/>
      <w:sz w:val="24"/>
      <w:szCs w:val="24"/>
    </w:rPr>
  </w:style>
  <w:style w:type="character" w:customStyle="1" w:styleId="37">
    <w:name w:val="标题 5 Char"/>
    <w:basedOn w:val="28"/>
    <w:link w:val="7"/>
    <w:semiHidden/>
    <w:qFormat/>
    <w:uiPriority w:val="9"/>
    <w:rPr>
      <w:rFonts w:asciiTheme="majorHAnsi" w:hAnsiTheme="majorHAnsi" w:eastAsiaTheme="majorEastAsia" w:cstheme="majorBidi"/>
      <w:b/>
      <w:bCs/>
    </w:rPr>
  </w:style>
  <w:style w:type="character" w:customStyle="1" w:styleId="38">
    <w:name w:val="标题 6 Char"/>
    <w:basedOn w:val="28"/>
    <w:link w:val="8"/>
    <w:semiHidden/>
    <w:qFormat/>
    <w:uiPriority w:val="9"/>
    <w:rPr>
      <w:rFonts w:asciiTheme="majorHAnsi" w:hAnsiTheme="majorHAnsi" w:eastAsiaTheme="majorEastAsia" w:cstheme="majorBidi"/>
      <w:b/>
      <w:bCs/>
      <w:i/>
      <w:iCs/>
    </w:rPr>
  </w:style>
  <w:style w:type="character" w:customStyle="1" w:styleId="39">
    <w:name w:val="标题 7 Char"/>
    <w:basedOn w:val="28"/>
    <w:link w:val="9"/>
    <w:semiHidden/>
    <w:qFormat/>
    <w:uiPriority w:val="9"/>
    <w:rPr>
      <w:i/>
      <w:iCs/>
    </w:rPr>
  </w:style>
  <w:style w:type="character" w:customStyle="1" w:styleId="40">
    <w:name w:val="标题 8 Char"/>
    <w:basedOn w:val="28"/>
    <w:link w:val="10"/>
    <w:semiHidden/>
    <w:qFormat/>
    <w:uiPriority w:val="9"/>
    <w:rPr>
      <w:b/>
      <w:bCs/>
    </w:rPr>
  </w:style>
  <w:style w:type="character" w:customStyle="1" w:styleId="41">
    <w:name w:val="标题 9 Char"/>
    <w:basedOn w:val="28"/>
    <w:link w:val="11"/>
    <w:semiHidden/>
    <w:qFormat/>
    <w:uiPriority w:val="9"/>
    <w:rPr>
      <w:i/>
      <w:iCs/>
    </w:rPr>
  </w:style>
  <w:style w:type="character" w:customStyle="1" w:styleId="42">
    <w:name w:val="正文文本 Char"/>
    <w:basedOn w:val="28"/>
    <w:link w:val="2"/>
    <w:semiHidden/>
    <w:qFormat/>
    <w:uiPriority w:val="99"/>
  </w:style>
  <w:style w:type="character" w:customStyle="1" w:styleId="43">
    <w:name w:val="纯文本 Char1"/>
    <w:basedOn w:val="28"/>
    <w:link w:val="16"/>
    <w:qFormat/>
    <w:uiPriority w:val="0"/>
    <w:rPr>
      <w:rFonts w:hAnsi="Courier New" w:cs="Courier New" w:asciiTheme="minorEastAsia"/>
    </w:rPr>
  </w:style>
  <w:style w:type="character" w:customStyle="1" w:styleId="44">
    <w:name w:val="页脚 Char"/>
    <w:basedOn w:val="28"/>
    <w:link w:val="19"/>
    <w:qFormat/>
    <w:uiPriority w:val="99"/>
    <w:rPr>
      <w:sz w:val="18"/>
      <w:szCs w:val="18"/>
    </w:rPr>
  </w:style>
  <w:style w:type="character" w:customStyle="1" w:styleId="45">
    <w:name w:val="页眉 Char"/>
    <w:basedOn w:val="28"/>
    <w:link w:val="20"/>
    <w:qFormat/>
    <w:uiPriority w:val="99"/>
    <w:rPr>
      <w:sz w:val="18"/>
      <w:szCs w:val="18"/>
    </w:rPr>
  </w:style>
  <w:style w:type="character" w:customStyle="1" w:styleId="46">
    <w:name w:val="副标题 Char"/>
    <w:basedOn w:val="28"/>
    <w:link w:val="22"/>
    <w:qFormat/>
    <w:uiPriority w:val="11"/>
    <w:rPr>
      <w:rFonts w:asciiTheme="majorHAnsi" w:hAnsiTheme="majorHAnsi" w:eastAsiaTheme="majorEastAsia" w:cstheme="majorBidi"/>
      <w:sz w:val="24"/>
      <w:szCs w:val="24"/>
    </w:rPr>
  </w:style>
  <w:style w:type="character" w:customStyle="1" w:styleId="47">
    <w:name w:val="正文文本缩进 3 Char"/>
    <w:basedOn w:val="28"/>
    <w:link w:val="23"/>
    <w:qFormat/>
    <w:uiPriority w:val="0"/>
    <w:rPr>
      <w:rFonts w:ascii="Times New Roman" w:hAnsi="Times New Roman" w:eastAsia="宋体" w:cs="Times New Roman"/>
      <w:kern w:val="2"/>
      <w:sz w:val="16"/>
      <w:szCs w:val="16"/>
    </w:rPr>
  </w:style>
  <w:style w:type="character" w:customStyle="1" w:styleId="48">
    <w:name w:val="标题 Char"/>
    <w:basedOn w:val="28"/>
    <w:link w:val="25"/>
    <w:qFormat/>
    <w:uiPriority w:val="10"/>
    <w:rPr>
      <w:rFonts w:asciiTheme="majorHAnsi" w:hAnsiTheme="majorHAnsi" w:eastAsiaTheme="majorEastAsia" w:cstheme="majorBidi"/>
      <w:b/>
      <w:bCs/>
      <w:spacing w:val="-7"/>
      <w:sz w:val="48"/>
      <w:szCs w:val="48"/>
    </w:rPr>
  </w:style>
  <w:style w:type="paragraph" w:styleId="49">
    <w:name w:val="No Spacing"/>
    <w:link w:val="50"/>
    <w:qFormat/>
    <w:uiPriority w:val="1"/>
    <w:pPr>
      <w:jc w:val="both"/>
    </w:pPr>
    <w:rPr>
      <w:rFonts w:asciiTheme="minorHAnsi" w:hAnsiTheme="minorHAnsi" w:eastAsiaTheme="minorEastAsia" w:cstheme="minorBidi"/>
      <w:sz w:val="22"/>
      <w:szCs w:val="22"/>
      <w:lang w:val="en-US" w:eastAsia="zh-CN" w:bidi="ar-SA"/>
    </w:rPr>
  </w:style>
  <w:style w:type="character" w:customStyle="1" w:styleId="50">
    <w:name w:val="无间隔 Char"/>
    <w:basedOn w:val="28"/>
    <w:link w:val="49"/>
    <w:qFormat/>
    <w:uiPriority w:val="1"/>
  </w:style>
  <w:style w:type="paragraph" w:styleId="51">
    <w:name w:val="Quote"/>
    <w:basedOn w:val="1"/>
    <w:next w:val="1"/>
    <w:link w:val="5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2">
    <w:name w:val="引用 Char"/>
    <w:basedOn w:val="28"/>
    <w:link w:val="51"/>
    <w:qFormat/>
    <w:uiPriority w:val="29"/>
    <w:rPr>
      <w:rFonts w:asciiTheme="majorHAnsi" w:hAnsiTheme="majorHAnsi" w:eastAsiaTheme="majorEastAsia" w:cstheme="majorBidi"/>
      <w:i/>
      <w:iCs/>
      <w:sz w:val="24"/>
      <w:szCs w:val="24"/>
    </w:rPr>
  </w:style>
  <w:style w:type="paragraph" w:styleId="53">
    <w:name w:val="Intense Quote"/>
    <w:basedOn w:val="1"/>
    <w:next w:val="1"/>
    <w:link w:val="5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4">
    <w:name w:val="明显引用 Char"/>
    <w:basedOn w:val="28"/>
    <w:link w:val="53"/>
    <w:qFormat/>
    <w:uiPriority w:val="30"/>
    <w:rPr>
      <w:rFonts w:asciiTheme="majorHAnsi" w:hAnsiTheme="majorHAnsi" w:eastAsiaTheme="majorEastAsia" w:cstheme="majorBidi"/>
      <w:sz w:val="26"/>
      <w:szCs w:val="26"/>
    </w:rPr>
  </w:style>
  <w:style w:type="character" w:customStyle="1" w:styleId="55">
    <w:name w:val="不明显强调1"/>
    <w:basedOn w:val="28"/>
    <w:qFormat/>
    <w:uiPriority w:val="19"/>
    <w:rPr>
      <w:i/>
      <w:iCs/>
      <w:color w:val="auto"/>
    </w:rPr>
  </w:style>
  <w:style w:type="character" w:customStyle="1" w:styleId="56">
    <w:name w:val="明显强调1"/>
    <w:basedOn w:val="28"/>
    <w:qFormat/>
    <w:uiPriority w:val="21"/>
    <w:rPr>
      <w:b/>
      <w:bCs/>
      <w:i/>
      <w:iCs/>
      <w:color w:val="auto"/>
    </w:rPr>
  </w:style>
  <w:style w:type="character" w:customStyle="1" w:styleId="57">
    <w:name w:val="不明显参考1"/>
    <w:basedOn w:val="28"/>
    <w:qFormat/>
    <w:uiPriority w:val="31"/>
    <w:rPr>
      <w:smallCaps/>
      <w:color w:val="auto"/>
      <w:u w:val="single" w:color="7E7E7E" w:themeColor="text1" w:themeTint="80"/>
    </w:rPr>
  </w:style>
  <w:style w:type="character" w:customStyle="1" w:styleId="58">
    <w:name w:val="明显参考1"/>
    <w:basedOn w:val="28"/>
    <w:qFormat/>
    <w:uiPriority w:val="32"/>
    <w:rPr>
      <w:b/>
      <w:bCs/>
      <w:smallCaps/>
      <w:color w:val="auto"/>
      <w:u w:val="single"/>
    </w:rPr>
  </w:style>
  <w:style w:type="character" w:customStyle="1" w:styleId="59">
    <w:name w:val="书籍标题1"/>
    <w:basedOn w:val="28"/>
    <w:qFormat/>
    <w:uiPriority w:val="33"/>
    <w:rPr>
      <w:b/>
      <w:bCs/>
      <w:smallCaps/>
      <w:color w:val="auto"/>
    </w:rPr>
  </w:style>
  <w:style w:type="paragraph" w:customStyle="1" w:styleId="60">
    <w:name w:val="TOC 标题1"/>
    <w:basedOn w:val="3"/>
    <w:next w:val="1"/>
    <w:unhideWhenUsed/>
    <w:qFormat/>
    <w:uiPriority w:val="39"/>
    <w:pPr>
      <w:outlineLvl w:val="9"/>
    </w:pPr>
  </w:style>
  <w:style w:type="paragraph" w:customStyle="1" w:styleId="6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2">
    <w:name w:val="List Paragraph"/>
    <w:basedOn w:val="1"/>
    <w:qFormat/>
    <w:uiPriority w:val="34"/>
    <w:pPr>
      <w:ind w:firstLine="420" w:firstLineChars="200"/>
    </w:pPr>
  </w:style>
  <w:style w:type="paragraph" w:customStyle="1" w:styleId="63">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4">
    <w:name w:val="纯文本 Char"/>
    <w:qFormat/>
    <w:uiPriority w:val="0"/>
    <w:rPr>
      <w:rFonts w:ascii="宋体" w:hAnsi="Courier New" w:eastAsia="宋体"/>
      <w:kern w:val="2"/>
      <w:sz w:val="21"/>
      <w:lang w:val="en-US" w:eastAsia="zh-CN" w:bidi="ar-SA"/>
    </w:rPr>
  </w:style>
  <w:style w:type="character" w:customStyle="1" w:styleId="65">
    <w:name w:val="批注框文本 Char"/>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C1D1A-B47A-40C2-A377-144C57056EB8}">
  <ds:schemaRefs/>
</ds:datastoreItem>
</file>

<file path=docProps/app.xml><?xml version="1.0" encoding="utf-8"?>
<Properties xmlns="http://schemas.openxmlformats.org/officeDocument/2006/extended-properties" xmlns:vt="http://schemas.openxmlformats.org/officeDocument/2006/docPropsVTypes">
  <Template>Normal</Template>
  <Pages>12</Pages>
  <Words>685</Words>
  <Characters>3905</Characters>
  <Lines>32</Lines>
  <Paragraphs>9</Paragraphs>
  <TotalTime>51</TotalTime>
  <ScaleCrop>false</ScaleCrop>
  <LinksUpToDate>false</LinksUpToDate>
  <CharactersWithSpaces>4581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2021-07-12T10:38:00Z</dcterms:created>
  <dc:creator>树亮 门</dc:creator>
  <cp:lastModifiedBy>刘轩辰</cp:lastModifiedBy>
  <cp:lastPrinted>2020-07-28T09:28:00Z</cp:lastPrinted>
  <dcterms:modified xsi:type="dcterms:W3CDTF">2021-08-18T07:44:58Z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FE205DDF6AD642F6BEA9AEB37E099E87</vt:lpwstr>
  </property>
</Properties>
</file>